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C95A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6AF167F8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4A2E930C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77CC1A3C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64"/>
          <w:szCs w:val="64"/>
        </w:rPr>
      </w:pPr>
      <w:r w:rsidRPr="002B74A2">
        <w:rPr>
          <w:rFonts w:ascii="Verdana" w:eastAsia="Verdana" w:hAnsi="Verdana" w:cs="Courier New"/>
          <w:b/>
          <w:sz w:val="64"/>
          <w:szCs w:val="64"/>
        </w:rPr>
        <w:t>OPĆINA TOMPOJEVCI</w:t>
      </w:r>
    </w:p>
    <w:p w14:paraId="6C1758B2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6B289E4" w14:textId="77777777" w:rsidR="00D54569" w:rsidRPr="00BD7D67" w:rsidRDefault="00D54569" w:rsidP="00D54569">
      <w:pPr>
        <w:jc w:val="center"/>
        <w:rPr>
          <w:rFonts w:ascii="Verdana" w:eastAsia="Verdana" w:hAnsi="Verdana" w:cs="Courier New"/>
          <w:b/>
          <w:sz w:val="72"/>
          <w:szCs w:val="72"/>
        </w:rPr>
      </w:pPr>
      <w:r w:rsidRPr="00BD7D67">
        <w:rPr>
          <w:rFonts w:ascii="Verdana" w:eastAsia="Verdana" w:hAnsi="Verdana" w:cs="Courier New"/>
          <w:b/>
          <w:sz w:val="72"/>
          <w:szCs w:val="72"/>
        </w:rPr>
        <w:t>VODIČ ZA GRAĐANE</w:t>
      </w:r>
    </w:p>
    <w:p w14:paraId="1A60D8F5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106FDC6A" w14:textId="371E7AEA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48"/>
          <w:szCs w:val="48"/>
        </w:rPr>
      </w:pPr>
      <w:r w:rsidRPr="002B74A2">
        <w:rPr>
          <w:rFonts w:ascii="Verdana" w:eastAsia="Verdana" w:hAnsi="Verdana" w:cs="Courier New"/>
          <w:b/>
          <w:sz w:val="48"/>
          <w:szCs w:val="48"/>
        </w:rPr>
        <w:t>P</w:t>
      </w:r>
      <w:r w:rsidR="007221F7">
        <w:rPr>
          <w:rFonts w:ascii="Verdana" w:eastAsia="Verdana" w:hAnsi="Verdana" w:cs="Courier New"/>
          <w:b/>
          <w:sz w:val="48"/>
          <w:szCs w:val="48"/>
        </w:rPr>
        <w:t>RORAČUN OPĆINE TOMPOJEVCI ZA 202</w:t>
      </w:r>
      <w:r w:rsidR="007A6D3F">
        <w:rPr>
          <w:rFonts w:ascii="Verdana" w:eastAsia="Verdana" w:hAnsi="Verdana" w:cs="Courier New"/>
          <w:b/>
          <w:sz w:val="48"/>
          <w:szCs w:val="48"/>
        </w:rPr>
        <w:t>5</w:t>
      </w:r>
      <w:r w:rsidR="007221F7">
        <w:rPr>
          <w:rFonts w:ascii="Verdana" w:eastAsia="Verdana" w:hAnsi="Verdana" w:cs="Courier New"/>
          <w:b/>
          <w:sz w:val="48"/>
          <w:szCs w:val="48"/>
        </w:rPr>
        <w:t>. GODINU I PROJEKCIJA ZA 202</w:t>
      </w:r>
      <w:r w:rsidR="007A6D3F">
        <w:rPr>
          <w:rFonts w:ascii="Verdana" w:eastAsia="Verdana" w:hAnsi="Verdana" w:cs="Courier New"/>
          <w:b/>
          <w:sz w:val="48"/>
          <w:szCs w:val="48"/>
        </w:rPr>
        <w:t>6</w:t>
      </w:r>
      <w:r w:rsidR="007221F7">
        <w:rPr>
          <w:rFonts w:ascii="Verdana" w:eastAsia="Verdana" w:hAnsi="Verdana" w:cs="Courier New"/>
          <w:b/>
          <w:sz w:val="48"/>
          <w:szCs w:val="48"/>
        </w:rPr>
        <w:t>. I 202</w:t>
      </w:r>
      <w:r w:rsidR="007A6D3F">
        <w:rPr>
          <w:rFonts w:ascii="Verdana" w:eastAsia="Verdana" w:hAnsi="Verdana" w:cs="Courier New"/>
          <w:b/>
          <w:sz w:val="48"/>
          <w:szCs w:val="48"/>
        </w:rPr>
        <w:t>7</w:t>
      </w:r>
      <w:r w:rsidRPr="002B74A2">
        <w:rPr>
          <w:rFonts w:ascii="Verdana" w:eastAsia="Verdana" w:hAnsi="Verdana" w:cs="Courier New"/>
          <w:b/>
          <w:sz w:val="48"/>
          <w:szCs w:val="48"/>
        </w:rPr>
        <w:t>. GODINU</w:t>
      </w:r>
    </w:p>
    <w:p w14:paraId="2E6784D5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45FAD4E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5885F93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0BC78D3B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0181C99C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6B20097C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4718D382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1E76F22D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4357AEB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2B969A8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UVODNA RIJEČ OPĆINSKOG NAČELNIKA</w:t>
      </w:r>
    </w:p>
    <w:p w14:paraId="3E17152B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693E2DF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Dragi mještani Općine Tompojevci, </w:t>
      </w:r>
    </w:p>
    <w:p w14:paraId="42734D18" w14:textId="62B360A3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Predstavljamo</w:t>
      </w:r>
      <w:r w:rsidR="007221F7">
        <w:rPr>
          <w:rFonts w:ascii="Verdana" w:eastAsia="Verdana" w:hAnsi="Verdana" w:cs="Courier New"/>
          <w:sz w:val="20"/>
          <w:szCs w:val="20"/>
        </w:rPr>
        <w:t xml:space="preserve"> Vam Proračun za građane za 202</w:t>
      </w:r>
      <w:r w:rsidR="007A6D3F">
        <w:rPr>
          <w:rFonts w:ascii="Verdana" w:eastAsia="Verdana" w:hAnsi="Verdana" w:cs="Courier New"/>
          <w:sz w:val="20"/>
          <w:szCs w:val="20"/>
        </w:rPr>
        <w:t>5</w:t>
      </w:r>
      <w:r w:rsidRPr="00D54569">
        <w:rPr>
          <w:rFonts w:ascii="Verdana" w:eastAsia="Verdana" w:hAnsi="Verdana" w:cs="Courier New"/>
          <w:sz w:val="20"/>
          <w:szCs w:val="20"/>
        </w:rPr>
        <w:t xml:space="preserve">. godinu. U njemu je prikazano na koji način Općina Tompojevci prikuplja i investira sredstva. Kako bi Vam omogućili uvid u rad naše Općine i učinili je što transparentnijom, molim Vas posjetite nas na našoj službenoj stranici </w:t>
      </w:r>
      <w:hyperlink r:id="rId8" w:history="1">
        <w:r w:rsidRPr="00D54569">
          <w:rPr>
            <w:rFonts w:ascii="Verdana" w:eastAsia="Verdana" w:hAnsi="Verdana" w:cs="Courier New"/>
            <w:color w:val="00A3D6"/>
            <w:sz w:val="20"/>
            <w:szCs w:val="20"/>
            <w:u w:val="single"/>
          </w:rPr>
          <w:t>www.opcina-tompojevci.hr</w:t>
        </w:r>
      </w:hyperlink>
    </w:p>
    <w:p w14:paraId="5C616184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1EE6EFF4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Tompojevci.</w:t>
      </w:r>
    </w:p>
    <w:p w14:paraId="1C9025CE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Nadam se da smo u tome uspjeli. Ovaj dokument je namijenjen vama, a mi smo na raspolaganju za sve vaše prijedloge i sugestije.</w:t>
      </w:r>
    </w:p>
    <w:p w14:paraId="61071239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</w:p>
    <w:p w14:paraId="6752EBFF" w14:textId="77777777" w:rsidR="00D54569" w:rsidRPr="00D54569" w:rsidRDefault="00D54569" w:rsidP="00D54569">
      <w:pPr>
        <w:spacing w:after="0" w:line="240" w:lineRule="auto"/>
        <w:ind w:left="5664" w:firstLine="708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Općinski načelnik </w:t>
      </w:r>
    </w:p>
    <w:p w14:paraId="733486ED" w14:textId="77777777" w:rsidR="00D54569" w:rsidRPr="00D54569" w:rsidRDefault="00D54569" w:rsidP="00D54569">
      <w:pPr>
        <w:spacing w:after="0" w:line="240" w:lineRule="auto"/>
        <w:ind w:left="3540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    </w:t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="007B2336">
        <w:rPr>
          <w:rFonts w:ascii="Verdana" w:eastAsia="Verdana" w:hAnsi="Verdana" w:cs="Courier New"/>
          <w:sz w:val="20"/>
          <w:szCs w:val="20"/>
        </w:rPr>
        <w:t xml:space="preserve">   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7B2336">
        <w:rPr>
          <w:rFonts w:ascii="Verdana" w:eastAsia="Verdana" w:hAnsi="Verdana" w:cs="Courier New"/>
          <w:sz w:val="20"/>
          <w:szCs w:val="20"/>
        </w:rPr>
        <w:t xml:space="preserve">Milan </w:t>
      </w:r>
      <w:proofErr w:type="spellStart"/>
      <w:r w:rsidR="007B2336">
        <w:rPr>
          <w:rFonts w:ascii="Verdana" w:eastAsia="Verdana" w:hAnsi="Verdana" w:cs="Courier New"/>
          <w:sz w:val="20"/>
          <w:szCs w:val="20"/>
        </w:rPr>
        <w:t>Grubač</w:t>
      </w:r>
      <w:proofErr w:type="spellEnd"/>
    </w:p>
    <w:p w14:paraId="41292483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626A9D83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2F29A852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C2B23A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E04DEDE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2BE6D2E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134A84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C278706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373E0F9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F8A8A98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0F3D6C4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582E61B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9C28FE5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78172838" w14:textId="77777777" w:rsidR="00A617F6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B6ED8FE" w14:textId="77777777" w:rsidR="00A617F6" w:rsidRPr="00D54569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56874A6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14:paraId="1F3F6D1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OPĆENITO O PRORAČUNU</w:t>
      </w:r>
    </w:p>
    <w:p w14:paraId="5F484931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</w:p>
    <w:p w14:paraId="732CCE17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ŠTO JE PRORAČUN?</w:t>
      </w:r>
    </w:p>
    <w:p w14:paraId="18EB3AC6" w14:textId="77777777" w:rsidR="00D54569" w:rsidRPr="007A6D3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133A7F7F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Proračun je jedan od najvažnijih dokumenata koji se donosi na razini jedinice lokalne samouprave.</w:t>
      </w:r>
    </w:p>
    <w:p w14:paraId="4639DC24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4BF22FA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Proračun je akt kojim se procjenjuju prihodi i primici te utvrđuju rashodi i izdaci jedinice lokalne samouprave za proračunsku godinu. Uz proračun donosi se i </w:t>
      </w:r>
      <w:r w:rsidRPr="00702B26">
        <w:rPr>
          <w:rFonts w:ascii="Verdana" w:eastAsia="Verdana" w:hAnsi="Verdana" w:cs="Courier New"/>
          <w:b/>
          <w:sz w:val="20"/>
          <w:szCs w:val="20"/>
        </w:rPr>
        <w:t>projekcija</w:t>
      </w:r>
      <w:r w:rsidRPr="00702B26">
        <w:rPr>
          <w:rFonts w:ascii="Verdana" w:eastAsia="Verdana" w:hAnsi="Verdana" w:cs="Courier New"/>
          <w:sz w:val="20"/>
          <w:szCs w:val="20"/>
        </w:rPr>
        <w:t xml:space="preserve"> prihoda i primitaka te rashoda i izdataka za </w:t>
      </w:r>
      <w:r w:rsidRPr="00702B26">
        <w:rPr>
          <w:rFonts w:ascii="Verdana" w:eastAsia="Verdana" w:hAnsi="Verdana" w:cs="Courier New"/>
          <w:b/>
          <w:sz w:val="20"/>
          <w:szCs w:val="20"/>
        </w:rPr>
        <w:t>dvije godine unaprijed.</w:t>
      </w:r>
    </w:p>
    <w:p w14:paraId="23AD98C1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5C9E5F9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Propisi kojim su regulirana sva pitanja vezana uz proračun je Zakon o proračunu (Narodne novine </w:t>
      </w:r>
      <w:r w:rsidR="000D35DF" w:rsidRPr="00702B26">
        <w:rPr>
          <w:rFonts w:ascii="Arial" w:hAnsi="Arial" w:cs="Arial"/>
          <w:sz w:val="20"/>
          <w:szCs w:val="20"/>
        </w:rPr>
        <w:t>144/21</w:t>
      </w:r>
      <w:r w:rsidRPr="00702B26">
        <w:rPr>
          <w:rFonts w:ascii="Verdana" w:eastAsia="Verdana" w:hAnsi="Verdana" w:cs="Courier New"/>
          <w:sz w:val="20"/>
          <w:szCs w:val="20"/>
        </w:rPr>
        <w:t>).</w:t>
      </w:r>
    </w:p>
    <w:p w14:paraId="3D8874B2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6F1B871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t>KAKO SE DONOSI PRORAČUN?</w:t>
      </w:r>
    </w:p>
    <w:p w14:paraId="723D907A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EDC98D3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Proračun donosi predstavničko tijelo jedinica lokalne samouprave (Općinsko vijeće Općine Tompojevci).</w:t>
      </w:r>
    </w:p>
    <w:p w14:paraId="2FDF9DE9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0B9C385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Proračun se prema Zakonu mora donijeti najkasnije do konca tekuće godine za iduću godinu prema prijedlogu kojeg utvrđuje načelnik i dostavlja predstavničkom tijelu do 15. studenog tekuće godine</w:t>
      </w:r>
    </w:p>
    <w:p w14:paraId="618E90EB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55A6BC7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Ako se proračun ne donese u roku slijedi:</w:t>
      </w:r>
    </w:p>
    <w:p w14:paraId="68E5740D" w14:textId="77777777" w:rsidR="00D54569" w:rsidRPr="00702B2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Privremeno financiranje</w:t>
      </w:r>
    </w:p>
    <w:p w14:paraId="45A210DB" w14:textId="77777777" w:rsidR="00D54569" w:rsidRPr="00702B2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Raspuštanje Općinskog vijeća i Načelnika</w:t>
      </w:r>
    </w:p>
    <w:p w14:paraId="756D7E3E" w14:textId="77777777" w:rsidR="00D54569" w:rsidRPr="00702B2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Prijevremeni izbori za Općinsko vijeće i općinskog Načelnika</w:t>
      </w:r>
    </w:p>
    <w:p w14:paraId="049104D1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A7275CE" w14:textId="77777777" w:rsidR="00D54569" w:rsidRPr="00702B26" w:rsidRDefault="00D54569" w:rsidP="004714DD">
      <w:pPr>
        <w:tabs>
          <w:tab w:val="left" w:pos="10343"/>
        </w:tabs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t>SADRŽAJ PRORAČUNA</w:t>
      </w:r>
    </w:p>
    <w:p w14:paraId="241E3C4D" w14:textId="77777777" w:rsidR="000D35DF" w:rsidRPr="00702B26" w:rsidRDefault="004714DD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t xml:space="preserve">I </w:t>
      </w:r>
      <w:r w:rsidR="000D35DF" w:rsidRPr="00702B26">
        <w:rPr>
          <w:rFonts w:ascii="Verdana" w:hAnsi="Verdana" w:cs="Calibri"/>
          <w:b/>
          <w:bCs/>
          <w:iCs/>
          <w:sz w:val="20"/>
          <w:szCs w:val="20"/>
        </w:rPr>
        <w:t>Opći dio proračuna sadrži:</w:t>
      </w:r>
    </w:p>
    <w:p w14:paraId="36FC0EFE" w14:textId="6B8099BB" w:rsidR="000D35DF" w:rsidRPr="00702B26" w:rsidRDefault="000D35DF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t>– sažetak Računa prihoda i rashoda</w:t>
      </w:r>
      <w:r w:rsidR="0095799A">
        <w:rPr>
          <w:rFonts w:ascii="Verdana" w:hAnsi="Verdana" w:cs="Calibri"/>
          <w:b/>
          <w:bCs/>
          <w:iCs/>
          <w:sz w:val="20"/>
          <w:szCs w:val="20"/>
        </w:rPr>
        <w:t>,</w:t>
      </w:r>
      <w:r w:rsidRPr="00702B26">
        <w:rPr>
          <w:rFonts w:ascii="Verdana" w:hAnsi="Verdana" w:cs="Calibri"/>
          <w:b/>
          <w:bCs/>
          <w:iCs/>
          <w:sz w:val="20"/>
          <w:szCs w:val="20"/>
        </w:rPr>
        <w:t xml:space="preserve"> Računa financiranja</w:t>
      </w:r>
      <w:r w:rsidR="0095799A">
        <w:rPr>
          <w:rFonts w:ascii="Verdana" w:hAnsi="Verdana" w:cs="Calibri"/>
          <w:b/>
          <w:bCs/>
          <w:iCs/>
          <w:sz w:val="20"/>
          <w:szCs w:val="20"/>
        </w:rPr>
        <w:t>, Preneseni višak ili preneseni manjak i Višegodišnji plan uravnoteženja</w:t>
      </w:r>
    </w:p>
    <w:p w14:paraId="7ED808E0" w14:textId="77777777" w:rsidR="000D35DF" w:rsidRPr="00702B26" w:rsidRDefault="000D35DF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t>– Račun prihoda i rashoda i Račun financiranja.</w:t>
      </w:r>
    </w:p>
    <w:p w14:paraId="40D97B13" w14:textId="77777777" w:rsidR="004714DD" w:rsidRPr="00702B26" w:rsidRDefault="000D35DF" w:rsidP="006E338C">
      <w:pPr>
        <w:shd w:val="clear" w:color="auto" w:fill="FFFFFF"/>
        <w:spacing w:after="48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t>Sažetak</w:t>
      </w:r>
      <w:r w:rsidRPr="00702B26">
        <w:rPr>
          <w:rFonts w:ascii="Verdana" w:hAnsi="Verdana" w:cs="Calibri"/>
          <w:b/>
          <w:bCs/>
          <w:i/>
          <w:iCs/>
          <w:sz w:val="20"/>
          <w:szCs w:val="20"/>
        </w:rPr>
        <w:t xml:space="preserve"> </w:t>
      </w:r>
      <w:r w:rsidRPr="00702B26">
        <w:rPr>
          <w:rFonts w:ascii="Verdana" w:hAnsi="Verdana" w:cs="Calibri"/>
          <w:b/>
          <w:bCs/>
          <w:iCs/>
          <w:sz w:val="20"/>
          <w:szCs w:val="20"/>
        </w:rPr>
        <w:t>Računa prihoda i rashoda i Sažetak Računa financiranja</w:t>
      </w:r>
      <w:r w:rsidRPr="00702B26">
        <w:rPr>
          <w:rFonts w:ascii="Verdana" w:hAnsi="Verdana" w:cs="Calibri"/>
          <w:sz w:val="20"/>
          <w:szCs w:val="20"/>
        </w:rPr>
        <w:t xml:space="preserve"> sastoji se od </w:t>
      </w:r>
    </w:p>
    <w:p w14:paraId="725371EC" w14:textId="5CE2B38A" w:rsidR="000D35DF" w:rsidRPr="00702B26" w:rsidRDefault="004714DD" w:rsidP="006E338C">
      <w:pPr>
        <w:shd w:val="clear" w:color="auto" w:fill="FFFFFF"/>
        <w:spacing w:after="48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sz w:val="20"/>
          <w:szCs w:val="20"/>
        </w:rPr>
        <w:t xml:space="preserve">Ukupnih </w:t>
      </w:r>
      <w:r w:rsidR="000D35DF" w:rsidRPr="00702B26">
        <w:rPr>
          <w:rFonts w:ascii="Verdana" w:hAnsi="Verdana" w:cs="Calibri"/>
          <w:sz w:val="20"/>
          <w:szCs w:val="20"/>
        </w:rPr>
        <w:t xml:space="preserve">prihoda poslovanja i prihoda od prodaje nefinancijske imovine, ukupnih rashoda poslovanja i rashoda za nabavu nefinancijske imovine, te ukupnih primitaka </w:t>
      </w:r>
      <w:r w:rsidR="006E338C" w:rsidRPr="00702B26">
        <w:rPr>
          <w:rFonts w:ascii="Verdana" w:hAnsi="Verdana" w:cs="Calibri"/>
          <w:sz w:val="20"/>
          <w:szCs w:val="20"/>
        </w:rPr>
        <w:t>od</w:t>
      </w:r>
      <w:r w:rsidR="00702B26" w:rsidRPr="00702B26">
        <w:rPr>
          <w:rFonts w:ascii="Verdana" w:hAnsi="Verdana" w:cs="Calibri"/>
          <w:sz w:val="20"/>
          <w:szCs w:val="20"/>
        </w:rPr>
        <w:t xml:space="preserve"> </w:t>
      </w:r>
      <w:r w:rsidR="000D35DF" w:rsidRPr="00702B26">
        <w:rPr>
          <w:rFonts w:ascii="Verdana" w:hAnsi="Verdana" w:cs="Calibri"/>
          <w:sz w:val="20"/>
          <w:szCs w:val="20"/>
        </w:rPr>
        <w:t>financijske imovine i zaduživanja i izdataka za financijsku imovinu i otplate zajmova.</w:t>
      </w:r>
    </w:p>
    <w:p w14:paraId="06466BC4" w14:textId="77777777" w:rsidR="000D35DF" w:rsidRPr="00702B26" w:rsidRDefault="000D35DF" w:rsidP="006E338C">
      <w:pPr>
        <w:spacing w:after="100" w:afterAutospacing="1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t>Račun prihoda i rashoda proračuna</w:t>
      </w:r>
      <w:r w:rsidRPr="00702B26">
        <w:rPr>
          <w:rFonts w:ascii="Verdana" w:hAnsi="Verdana" w:cs="Calibri"/>
          <w:sz w:val="20"/>
          <w:szCs w:val="20"/>
        </w:rPr>
        <w:t xml:space="preserve"> sastoji se od prihoda i rashoda iskazanih prema izvorima financiranja i ekonomskoj klasifikaciji na razini skupine, te rashoda iskazanih prema funkcijskoj klasifikaciji dok se u računu financiranja iskazuju primici od financijske imovine i zaduživanja te izdaci za financijsku imovinu i otplate instrumenata zaduživanja prema izvorima financiranja i ekonomskoj klasifikaciji.</w:t>
      </w:r>
    </w:p>
    <w:p w14:paraId="56A0E996" w14:textId="77777777" w:rsidR="000D35DF" w:rsidRPr="00702B26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sz w:val="20"/>
          <w:szCs w:val="20"/>
        </w:rPr>
        <w:t xml:space="preserve">Ako ukupni prihodi i primici nisu jednaki ukupnim rashodima i izdacima, opći dio proračuna sadrži i </w:t>
      </w:r>
      <w:r w:rsidRPr="00702B26">
        <w:rPr>
          <w:rFonts w:ascii="Verdana" w:hAnsi="Verdana" w:cs="Calibri"/>
          <w:b/>
          <w:bCs/>
          <w:iCs/>
          <w:sz w:val="20"/>
          <w:szCs w:val="20"/>
        </w:rPr>
        <w:t>preneseni višak ili preneseni manjak prihoda nad rashodim</w:t>
      </w:r>
      <w:r w:rsidRPr="00702B26">
        <w:rPr>
          <w:rFonts w:ascii="Verdana" w:hAnsi="Verdana" w:cs="Calibri"/>
          <w:b/>
          <w:bCs/>
          <w:i/>
          <w:iCs/>
          <w:sz w:val="20"/>
          <w:szCs w:val="20"/>
        </w:rPr>
        <w:t>a</w:t>
      </w:r>
      <w:r w:rsidRPr="00702B26">
        <w:rPr>
          <w:rFonts w:ascii="Verdana" w:hAnsi="Verdana" w:cs="Calibri"/>
          <w:sz w:val="20"/>
          <w:szCs w:val="20"/>
        </w:rPr>
        <w:t>. Ukoliko nije moguće u jednoj proračunskoj godini podmiriti planirani manjak odnosno utrošiti planirani višak potrebno je donijeti višegodišnji plan uravnoteženja i isti uključiti u proračun.</w:t>
      </w:r>
    </w:p>
    <w:p w14:paraId="762DFFD9" w14:textId="77777777" w:rsidR="000D35DF" w:rsidRPr="00702B26" w:rsidRDefault="004714DD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lastRenderedPageBreak/>
        <w:t xml:space="preserve">II </w:t>
      </w:r>
      <w:r w:rsidR="000D35DF" w:rsidRPr="00702B26">
        <w:rPr>
          <w:rFonts w:ascii="Verdana" w:hAnsi="Verdana" w:cs="Calibri"/>
          <w:b/>
          <w:bCs/>
          <w:iCs/>
          <w:sz w:val="20"/>
          <w:szCs w:val="20"/>
        </w:rPr>
        <w:t>Posebni dio proračuna</w:t>
      </w:r>
      <w:r w:rsidR="000D35DF" w:rsidRPr="00702B26">
        <w:rPr>
          <w:rFonts w:ascii="Verdana" w:hAnsi="Verdana" w:cs="Calibri"/>
          <w:sz w:val="20"/>
          <w:szCs w:val="20"/>
        </w:rPr>
        <w:t xml:space="preserve"> sastoji se od plana rashoda i izdataka Općine Tompojevci iskazanih po organizacijskoj klasifikaciji, izvorima financiranja i ekonomskoj klasifikaciji na razini skupine (druga razina), raspoređenih u programe koji se sastoje od aktivnosti i projekata.</w:t>
      </w:r>
    </w:p>
    <w:p w14:paraId="5DBD184C" w14:textId="77777777" w:rsidR="000D35DF" w:rsidRPr="00702B26" w:rsidRDefault="004714DD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b/>
          <w:bCs/>
          <w:iCs/>
          <w:sz w:val="20"/>
          <w:szCs w:val="20"/>
        </w:rPr>
        <w:t xml:space="preserve">III </w:t>
      </w:r>
      <w:r w:rsidR="000D35DF" w:rsidRPr="00702B26">
        <w:rPr>
          <w:rFonts w:ascii="Verdana" w:hAnsi="Verdana" w:cs="Calibri"/>
          <w:b/>
          <w:bCs/>
          <w:iCs/>
          <w:sz w:val="20"/>
          <w:szCs w:val="20"/>
        </w:rPr>
        <w:t>Obrazloženje proračun</w:t>
      </w:r>
      <w:r w:rsidR="000D35DF" w:rsidRPr="00702B26">
        <w:rPr>
          <w:rFonts w:ascii="Verdana" w:hAnsi="Verdana" w:cs="Calibri"/>
          <w:b/>
          <w:bCs/>
          <w:i/>
          <w:iCs/>
          <w:sz w:val="20"/>
          <w:szCs w:val="20"/>
        </w:rPr>
        <w:t>a</w:t>
      </w:r>
      <w:r w:rsidR="000D35DF" w:rsidRPr="00702B26">
        <w:rPr>
          <w:rFonts w:ascii="Verdana" w:hAnsi="Verdana" w:cs="Calibri"/>
          <w:sz w:val="20"/>
          <w:szCs w:val="20"/>
        </w:rPr>
        <w:t xml:space="preserve"> sastoji se od obrazloženja općeg dijela proračuna i obrazloženja posebnog dijela proračuna, te obrazloženja prenesenog manjka odnosno viška proračuna.</w:t>
      </w:r>
    </w:p>
    <w:p w14:paraId="3A5A0E2D" w14:textId="77777777" w:rsidR="000D35DF" w:rsidRPr="00702B26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sz w:val="20"/>
          <w:szCs w:val="20"/>
        </w:rPr>
        <w:t>Obrazloženje općeg dijela proračuna sadrži obrazloženje:</w:t>
      </w:r>
    </w:p>
    <w:p w14:paraId="2BDEA3C6" w14:textId="77777777" w:rsidR="000D35DF" w:rsidRPr="00702B26" w:rsidRDefault="000D35DF" w:rsidP="006E338C">
      <w:pPr>
        <w:spacing w:after="0"/>
        <w:ind w:left="-567" w:firstLine="567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sz w:val="20"/>
          <w:szCs w:val="20"/>
        </w:rPr>
        <w:t xml:space="preserve">– prihoda i rashoda, primitaka i izdataka proračuna </w:t>
      </w:r>
    </w:p>
    <w:p w14:paraId="173DAB17" w14:textId="77777777" w:rsidR="000D35DF" w:rsidRPr="00702B26" w:rsidRDefault="000D35DF" w:rsidP="006E338C">
      <w:pPr>
        <w:spacing w:after="0"/>
        <w:ind w:left="-567" w:firstLine="567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sz w:val="20"/>
          <w:szCs w:val="20"/>
        </w:rPr>
        <w:t>– prenesenog manjka odnosno viška proračuna.</w:t>
      </w:r>
    </w:p>
    <w:p w14:paraId="33D941C3" w14:textId="77777777" w:rsidR="000D35DF" w:rsidRPr="00702B26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702B26">
        <w:rPr>
          <w:rFonts w:ascii="Verdana" w:hAnsi="Verdana" w:cs="Calibri"/>
          <w:sz w:val="20"/>
          <w:szCs w:val="20"/>
        </w:rPr>
        <w:t>Obrazloženje posebnog dijela Proračuna sastoji se od obrazloženja programa koje se daje kroz obrazloženje aktivnosti i projekata zajedno sa ciljevima i pokazateljima uspješnosti.</w:t>
      </w:r>
    </w:p>
    <w:p w14:paraId="30BC965B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DE0E398" w14:textId="77777777" w:rsidR="00D54569" w:rsidRPr="007A6D3F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Cs/>
          <w:color w:val="FF0000"/>
          <w:sz w:val="20"/>
          <w:szCs w:val="20"/>
        </w:rPr>
      </w:pPr>
    </w:p>
    <w:p w14:paraId="47882372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/>
          <w:bCs/>
          <w:sz w:val="20"/>
          <w:szCs w:val="20"/>
        </w:rPr>
      </w:pPr>
      <w:r w:rsidRPr="00702B26">
        <w:rPr>
          <w:rFonts w:ascii="Verdana" w:eastAsia="Verdana" w:hAnsi="Verdana" w:cs="Courier New"/>
          <w:b/>
          <w:bCs/>
          <w:sz w:val="20"/>
          <w:szCs w:val="20"/>
        </w:rPr>
        <w:t>PRIHODI I PRIMICI, RASHODI I IZDACI PRORAČUNA PO VRSTAMA</w:t>
      </w:r>
    </w:p>
    <w:p w14:paraId="4CC4B577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1726308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Prihodi i primici Proračuna prema ekonomskoj klasifikaciji obuhvaćaju: </w:t>
      </w:r>
    </w:p>
    <w:p w14:paraId="0C4E0AB8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8FDDC08" w14:textId="77777777" w:rsidR="00D54569" w:rsidRPr="00702B26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prihode poslovanja</w:t>
      </w:r>
    </w:p>
    <w:p w14:paraId="2DEEF8AC" w14:textId="77777777" w:rsidR="00D54569" w:rsidRPr="00702B26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prihode od prodaje nefinancijske imovine </w:t>
      </w:r>
    </w:p>
    <w:p w14:paraId="43C6A930" w14:textId="77777777" w:rsidR="00D54569" w:rsidRPr="00702B26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raspoloživa sredstva iz prethodnih godina </w:t>
      </w:r>
    </w:p>
    <w:p w14:paraId="375573F3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44DFF20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Rashodi i izdaci Proračuna prema ekonomskoj klasifikaciji obuhvaćaju:</w:t>
      </w:r>
    </w:p>
    <w:p w14:paraId="1F416444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2AB03EED" w14:textId="77777777" w:rsidR="00D54569" w:rsidRPr="00702B26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rashode poslovanja</w:t>
      </w:r>
    </w:p>
    <w:p w14:paraId="466AC2BE" w14:textId="77777777" w:rsidR="00D54569" w:rsidRPr="00702B26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rashode za nabavu nefinancijske imovine </w:t>
      </w:r>
    </w:p>
    <w:p w14:paraId="08BDD928" w14:textId="77777777" w:rsidR="00D54569" w:rsidRPr="00702B26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izdatke za financijsku imovinu i otplate zajmova </w:t>
      </w:r>
    </w:p>
    <w:p w14:paraId="764076BF" w14:textId="77777777" w:rsidR="00D54569" w:rsidRPr="00702B2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2186577" w14:textId="77777777" w:rsidR="00E67EEC" w:rsidRPr="00702B26" w:rsidRDefault="00E67EE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</w:p>
    <w:p w14:paraId="1CF9453F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  <w:r w:rsidRPr="00702B26">
        <w:rPr>
          <w:rFonts w:ascii="Verdana" w:eastAsia="Verdana" w:hAnsi="Verdana" w:cs="Courier New"/>
          <w:b/>
          <w:bCs/>
          <w:sz w:val="32"/>
          <w:szCs w:val="32"/>
        </w:rPr>
        <w:t>VAŽNO JE ZNATI!</w:t>
      </w:r>
    </w:p>
    <w:p w14:paraId="21E25283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2843027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Jedno od najvažnijih načela Proračuna je da isti mora biti </w:t>
      </w:r>
      <w:r w:rsidRPr="00702B26">
        <w:rPr>
          <w:rFonts w:ascii="Verdana" w:eastAsia="Verdana" w:hAnsi="Verdana" w:cs="Courier New"/>
          <w:b/>
          <w:bCs/>
          <w:sz w:val="20"/>
          <w:szCs w:val="20"/>
        </w:rPr>
        <w:t>uravnotežen = ukupna visina planiranih prihoda</w:t>
      </w:r>
      <w:r w:rsidR="00A617F6" w:rsidRPr="00702B26">
        <w:rPr>
          <w:rFonts w:ascii="Verdana" w:eastAsia="Verdana" w:hAnsi="Verdana" w:cs="Courier New"/>
          <w:b/>
          <w:bCs/>
          <w:sz w:val="20"/>
          <w:szCs w:val="20"/>
        </w:rPr>
        <w:t xml:space="preserve"> </w:t>
      </w:r>
      <w:r w:rsidR="00261BF9" w:rsidRPr="00702B26">
        <w:rPr>
          <w:rFonts w:ascii="Verdana" w:eastAsia="Verdana" w:hAnsi="Verdana" w:cs="Courier New"/>
          <w:b/>
          <w:bCs/>
          <w:sz w:val="20"/>
          <w:szCs w:val="20"/>
        </w:rPr>
        <w:t>i višak/manjak</w:t>
      </w:r>
      <w:r w:rsidR="00A617F6" w:rsidRPr="00702B26">
        <w:rPr>
          <w:rFonts w:ascii="Verdana" w:eastAsia="Verdana" w:hAnsi="Verdana" w:cs="Courier New"/>
          <w:b/>
          <w:bCs/>
          <w:sz w:val="20"/>
          <w:szCs w:val="20"/>
        </w:rPr>
        <w:t xml:space="preserve"> iz </w:t>
      </w:r>
      <w:proofErr w:type="spellStart"/>
      <w:r w:rsidR="00A617F6" w:rsidRPr="00702B26">
        <w:rPr>
          <w:rFonts w:ascii="Verdana" w:eastAsia="Verdana" w:hAnsi="Verdana" w:cs="Courier New"/>
          <w:b/>
          <w:bCs/>
          <w:sz w:val="20"/>
          <w:szCs w:val="20"/>
        </w:rPr>
        <w:t>predhodnih</w:t>
      </w:r>
      <w:proofErr w:type="spellEnd"/>
      <w:r w:rsidR="00A617F6" w:rsidRPr="00702B26">
        <w:rPr>
          <w:rFonts w:ascii="Verdana" w:eastAsia="Verdana" w:hAnsi="Verdana" w:cs="Courier New"/>
          <w:b/>
          <w:bCs/>
          <w:sz w:val="20"/>
          <w:szCs w:val="20"/>
        </w:rPr>
        <w:t xml:space="preserve"> godina</w:t>
      </w:r>
      <w:r w:rsidR="00261BF9" w:rsidRPr="00702B26">
        <w:rPr>
          <w:rFonts w:ascii="Verdana" w:eastAsia="Verdana" w:hAnsi="Verdana" w:cs="Courier New"/>
          <w:b/>
          <w:bCs/>
          <w:sz w:val="20"/>
          <w:szCs w:val="20"/>
        </w:rPr>
        <w:t xml:space="preserve"> mora biti istovjet</w:t>
      </w:r>
      <w:r w:rsidR="00E64C06" w:rsidRPr="00702B26">
        <w:rPr>
          <w:rFonts w:ascii="Verdana" w:eastAsia="Verdana" w:hAnsi="Verdana" w:cs="Courier New"/>
          <w:b/>
          <w:bCs/>
          <w:sz w:val="20"/>
          <w:szCs w:val="20"/>
        </w:rPr>
        <w:t>a</w:t>
      </w:r>
      <w:r w:rsidR="00261BF9" w:rsidRPr="00702B26">
        <w:rPr>
          <w:rFonts w:ascii="Verdana" w:eastAsia="Verdana" w:hAnsi="Verdana" w:cs="Courier New"/>
          <w:b/>
          <w:bCs/>
          <w:sz w:val="20"/>
          <w:szCs w:val="20"/>
        </w:rPr>
        <w:t>n ukupnoj visini</w:t>
      </w:r>
      <w:r w:rsidRPr="00702B26">
        <w:rPr>
          <w:rFonts w:ascii="Verdana" w:eastAsia="Verdana" w:hAnsi="Verdana" w:cs="Courier New"/>
          <w:b/>
          <w:bCs/>
          <w:sz w:val="20"/>
          <w:szCs w:val="20"/>
        </w:rPr>
        <w:t xml:space="preserve"> planiranih rashoda</w:t>
      </w: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2438035D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3E5CD4C" w14:textId="77777777" w:rsidR="00FF5466" w:rsidRPr="007A6D3F" w:rsidRDefault="00FF546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201A42A" w14:textId="77777777" w:rsidR="00D54569" w:rsidRPr="007A6D3F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403CB01" w14:textId="77777777" w:rsidR="00D54569" w:rsidRPr="007A6D3F" w:rsidRDefault="00FF6D47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7A6D3F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drawing>
          <wp:inline distT="0" distB="0" distL="0" distR="0" wp14:anchorId="0EFE3439" wp14:editId="4926366A">
            <wp:extent cx="1362075" cy="128587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C6FE" w14:textId="77777777" w:rsidR="00FF5466" w:rsidRPr="007A6D3F" w:rsidRDefault="00FF546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6D1F21E" w14:textId="77777777" w:rsidR="00D54569" w:rsidRPr="007A6D3F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F421555" w14:textId="77777777" w:rsidR="00D54569" w:rsidRPr="007A6D3F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5392CB4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  <w:lang w:val="vi-VN"/>
        </w:rPr>
        <w:t>Određeni rashodi mogu se financirati isključivo iz određenih</w:t>
      </w:r>
      <w:r w:rsidRPr="00702B26">
        <w:rPr>
          <w:rFonts w:ascii="Verdana" w:eastAsia="Verdana" w:hAnsi="Verdana" w:cs="Courier New"/>
          <w:sz w:val="20"/>
          <w:szCs w:val="20"/>
        </w:rPr>
        <w:t xml:space="preserve"> prihoda – namjenski prihodi.</w:t>
      </w:r>
    </w:p>
    <w:p w14:paraId="5D74D286" w14:textId="77777777" w:rsidR="00B46BAC" w:rsidRPr="00702B26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5BD566A" w14:textId="77777777" w:rsidR="00B46BAC" w:rsidRPr="00702B26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BA90464" w14:textId="77777777" w:rsidR="00B46BAC" w:rsidRPr="007A6D3F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E1A28AD" w14:textId="77777777" w:rsidR="00D54569" w:rsidRPr="007A6D3F" w:rsidRDefault="00E64C0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7A6D3F">
        <w:rPr>
          <w:rFonts w:ascii="Verdana" w:eastAsia="Verdana" w:hAnsi="Verdana" w:cs="Courier New"/>
          <w:color w:val="FF0000"/>
          <w:sz w:val="20"/>
          <w:szCs w:val="20"/>
        </w:rPr>
        <w:t xml:space="preserve"> </w:t>
      </w:r>
    </w:p>
    <w:p w14:paraId="1C973F1B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lastRenderedPageBreak/>
        <w:t xml:space="preserve">PRIHODI PRORAČUNA I NJIHOVA NAMJENA </w:t>
      </w:r>
    </w:p>
    <w:p w14:paraId="715CA282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D33BCF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t>Za što se koriste?</w:t>
      </w:r>
    </w:p>
    <w:p w14:paraId="07AA1AF1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3D83F82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Prihodi od prodaje imovine = isključivo za kapitalna ulaganja (investicije)</w:t>
      </w:r>
    </w:p>
    <w:p w14:paraId="3A091B4B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Komunalni prihodi = isključivo za komunalne programe</w:t>
      </w:r>
    </w:p>
    <w:p w14:paraId="0A68E783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  <w:lang w:val="vi-VN"/>
        </w:rPr>
        <w:t>Komunalni</w:t>
      </w: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  <w:r w:rsidRPr="00702B26">
        <w:rPr>
          <w:rFonts w:ascii="Verdana" w:eastAsia="Verdana" w:hAnsi="Verdana" w:cs="Courier New"/>
          <w:sz w:val="20"/>
          <w:szCs w:val="20"/>
          <w:lang w:val="vi-VN"/>
        </w:rPr>
        <w:t>doprinos</w:t>
      </w:r>
      <w:r w:rsidRPr="00702B26">
        <w:rPr>
          <w:rFonts w:ascii="Verdana" w:eastAsia="Verdana" w:hAnsi="Verdana" w:cs="Courier New"/>
          <w:sz w:val="20"/>
          <w:szCs w:val="20"/>
        </w:rPr>
        <w:t>= g</w:t>
      </w:r>
      <w:r w:rsidRPr="00702B26">
        <w:rPr>
          <w:rFonts w:ascii="Verdana" w:eastAsia="Verdana" w:hAnsi="Verdana" w:cs="Courier New"/>
          <w:sz w:val="20"/>
          <w:szCs w:val="20"/>
          <w:lang w:val="vi-VN"/>
        </w:rPr>
        <w:t>radnja objekata i uređaja komunalne infrastrukture</w:t>
      </w:r>
    </w:p>
    <w:p w14:paraId="75864934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  <w:lang w:val="vi-VN"/>
        </w:rPr>
        <w:t xml:space="preserve">Komunalna naknada </w:t>
      </w:r>
      <w:r w:rsidRPr="00702B26">
        <w:rPr>
          <w:rFonts w:ascii="Verdana" w:eastAsia="Verdana" w:hAnsi="Verdana" w:cs="Courier New"/>
          <w:sz w:val="20"/>
          <w:szCs w:val="20"/>
        </w:rPr>
        <w:t xml:space="preserve">= </w:t>
      </w:r>
      <w:r w:rsidRPr="00702B26">
        <w:rPr>
          <w:rFonts w:ascii="Verdana" w:eastAsia="Verdana" w:hAnsi="Verdana" w:cs="Courier New"/>
          <w:sz w:val="20"/>
          <w:szCs w:val="20"/>
          <w:lang w:val="vi-VN"/>
        </w:rPr>
        <w:t>održavanje objekata i uređaja komunalne infrastrukture</w:t>
      </w:r>
    </w:p>
    <w:p w14:paraId="3BB34E12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8C6DDE1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Nenamjenski prihodi = (porezi, zakup </w:t>
      </w:r>
      <w:proofErr w:type="spellStart"/>
      <w:r w:rsidRPr="00702B26">
        <w:rPr>
          <w:rFonts w:ascii="Verdana" w:eastAsia="Verdana" w:hAnsi="Verdana" w:cs="Courier New"/>
          <w:sz w:val="20"/>
          <w:szCs w:val="20"/>
        </w:rPr>
        <w:t>posl</w:t>
      </w:r>
      <w:proofErr w:type="spellEnd"/>
      <w:r w:rsidRPr="00702B26">
        <w:rPr>
          <w:rFonts w:ascii="Verdana" w:eastAsia="Verdana" w:hAnsi="Verdana" w:cs="Courier New"/>
          <w:sz w:val="20"/>
          <w:szCs w:val="20"/>
        </w:rPr>
        <w:t xml:space="preserve">. prostora, ostali prihodi) mogu financirati sve vrste rashoda, a u općini Tompojevci uglavnom se troše za: </w:t>
      </w:r>
    </w:p>
    <w:p w14:paraId="303AFCAC" w14:textId="77777777" w:rsidR="00D54569" w:rsidRPr="00702B26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Javne potrebe </w:t>
      </w:r>
    </w:p>
    <w:p w14:paraId="61FC1698" w14:textId="77777777" w:rsidR="00D54569" w:rsidRPr="00702B26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Materijalne rashode Općine</w:t>
      </w:r>
    </w:p>
    <w:p w14:paraId="1EFBA355" w14:textId="77777777" w:rsidR="00D54569" w:rsidRPr="00702B26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14:paraId="36B5ACC0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2B1166B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t xml:space="preserve">RASHODI PRORAČUNA </w:t>
      </w:r>
    </w:p>
    <w:p w14:paraId="0EB5EA74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3F0270C" w14:textId="77777777" w:rsidR="00D54569" w:rsidRPr="00702B26" w:rsidRDefault="00D54569" w:rsidP="004714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Rashodi poslovanja</w:t>
      </w:r>
    </w:p>
    <w:p w14:paraId="5F16FF6D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Materijalni rashodi</w:t>
      </w:r>
    </w:p>
    <w:p w14:paraId="1051F369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Financijski rashodi</w:t>
      </w:r>
    </w:p>
    <w:p w14:paraId="32F3AB75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Subvencije</w:t>
      </w:r>
    </w:p>
    <w:p w14:paraId="490576B4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Pomoći unutar općeg proračuna</w:t>
      </w:r>
    </w:p>
    <w:p w14:paraId="71A7B101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Naknada građanima i kućanstvima na temelju osiguranja i druge naknade</w:t>
      </w:r>
    </w:p>
    <w:p w14:paraId="493E567E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Ostali rashodi</w:t>
      </w:r>
    </w:p>
    <w:p w14:paraId="77890599" w14:textId="77777777" w:rsidR="00D54569" w:rsidRPr="00702B26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Rashodi za nabavu nefinancijske imovine </w:t>
      </w:r>
    </w:p>
    <w:p w14:paraId="5EA8B903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CEA0CE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t>Dali se proračun može mijenjati?</w:t>
      </w:r>
    </w:p>
    <w:p w14:paraId="56FBA3D9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EC9B1B3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 xml:space="preserve">Proračun nije „statičan” akt već se, sukladno Zakonu može mijenjati tijekom proračunske godine </w:t>
      </w:r>
      <w:r w:rsidRPr="00702B26">
        <w:rPr>
          <w:rFonts w:ascii="Verdana" w:eastAsia="Verdana" w:hAnsi="Verdana" w:cs="Courier New"/>
          <w:b/>
          <w:bCs/>
          <w:sz w:val="20"/>
          <w:szCs w:val="20"/>
        </w:rPr>
        <w:t xml:space="preserve">„rebalans”.  Procedura </w:t>
      </w:r>
      <w:r w:rsidRPr="00702B26">
        <w:rPr>
          <w:rFonts w:ascii="Verdana" w:eastAsia="Verdana" w:hAnsi="Verdana" w:cs="Courier New"/>
          <w:sz w:val="20"/>
          <w:szCs w:val="20"/>
        </w:rPr>
        <w:t>izmjena Proračuna istovjetna je proceduri njegova donošenja: „rebalans” predlaže načelnik, a donosi Općinsko vijeće.</w:t>
      </w:r>
    </w:p>
    <w:p w14:paraId="6AB2C8C9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Tijekom proračunske godine, a u slučaju da se, zbog nastanka</w:t>
      </w:r>
      <w:r w:rsidRPr="00702B26">
        <w:rPr>
          <w:rFonts w:ascii="Verdana" w:eastAsia="Verdana" w:hAnsi="Verdana" w:cs="Courier New"/>
          <w:sz w:val="20"/>
          <w:szCs w:val="20"/>
          <w:lang w:val="pl-PL"/>
        </w:rPr>
        <w:t xml:space="preserve"> novih obveza za proračun ili promjena gospodarskih kretanja, </w:t>
      </w:r>
      <w:r w:rsidRPr="00702B26">
        <w:rPr>
          <w:rFonts w:ascii="Verdana" w:eastAsia="Verdana" w:hAnsi="Verdana" w:cs="Courier New"/>
          <w:sz w:val="20"/>
          <w:szCs w:val="20"/>
        </w:rPr>
        <w:t>povećaju rashod</w:t>
      </w:r>
      <w:r w:rsidR="00E00083" w:rsidRPr="00702B26">
        <w:rPr>
          <w:rFonts w:ascii="Verdana" w:eastAsia="Verdana" w:hAnsi="Verdana" w:cs="Courier New"/>
          <w:sz w:val="20"/>
          <w:szCs w:val="20"/>
        </w:rPr>
        <w:t>i i/ili izdaci odnosno smanjuju prihodi</w:t>
      </w:r>
      <w:r w:rsidRPr="00702B26">
        <w:rPr>
          <w:rFonts w:ascii="Verdana" w:eastAsia="Verdana" w:hAnsi="Verdana" w:cs="Courier New"/>
          <w:sz w:val="20"/>
          <w:szCs w:val="20"/>
        </w:rPr>
        <w:t xml:space="preserve"> i/ili primici, načelnik može na prijedlog Upravno</w:t>
      </w:r>
      <w:r w:rsidR="00B46BAC" w:rsidRPr="00702B26">
        <w:rPr>
          <w:rFonts w:ascii="Verdana" w:eastAsia="Verdana" w:hAnsi="Verdana" w:cs="Courier New"/>
          <w:sz w:val="20"/>
          <w:szCs w:val="20"/>
        </w:rPr>
        <w:t xml:space="preserve">g odijela </w:t>
      </w:r>
      <w:r w:rsidRPr="00702B26">
        <w:rPr>
          <w:rFonts w:ascii="Verdana" w:eastAsia="Verdana" w:hAnsi="Verdana" w:cs="Courier New"/>
          <w:sz w:val="20"/>
          <w:szCs w:val="20"/>
        </w:rPr>
        <w:t xml:space="preserve"> obustaviti izvršavanje pojedinih rashoda i/ili izdataka.</w:t>
      </w:r>
    </w:p>
    <w:p w14:paraId="67CDC007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B4CB3CB" w14:textId="77777777" w:rsidR="00D54569" w:rsidRPr="00702B26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702B26">
        <w:rPr>
          <w:rFonts w:ascii="Verdana" w:eastAsia="Verdana" w:hAnsi="Verdana" w:cs="Courier New"/>
          <w:b/>
          <w:sz w:val="20"/>
          <w:szCs w:val="20"/>
        </w:rPr>
        <w:t>Kako se Općina može zaduživati?</w:t>
      </w:r>
    </w:p>
    <w:p w14:paraId="289A5820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433943F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Općina se može dugoročno zaduživati</w:t>
      </w:r>
    </w:p>
    <w:p w14:paraId="09CB1FD0" w14:textId="77777777" w:rsidR="00D54569" w:rsidRPr="00702B26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bCs/>
          <w:sz w:val="20"/>
          <w:szCs w:val="20"/>
        </w:rPr>
        <w:t>Isključivo za kapitalne investicije</w:t>
      </w:r>
    </w:p>
    <w:p w14:paraId="509029C1" w14:textId="77777777" w:rsidR="00D54569" w:rsidRPr="00702B26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bCs/>
          <w:sz w:val="20"/>
          <w:szCs w:val="20"/>
        </w:rPr>
        <w:t>Investicija planirana u Proračunu</w:t>
      </w:r>
    </w:p>
    <w:p w14:paraId="459EBDFC" w14:textId="77777777" w:rsidR="00D54569" w:rsidRPr="00702B26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bCs/>
          <w:sz w:val="20"/>
          <w:szCs w:val="20"/>
        </w:rPr>
        <w:t>Prethodna suglasnost Općinskog vijeća</w:t>
      </w:r>
    </w:p>
    <w:p w14:paraId="75EB4376" w14:textId="77777777" w:rsidR="00D54569" w:rsidRPr="00702B26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bCs/>
          <w:sz w:val="20"/>
          <w:szCs w:val="20"/>
        </w:rPr>
        <w:t>Suglasnost Vlade RH</w:t>
      </w:r>
    </w:p>
    <w:p w14:paraId="5D87FAAE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Courier New"/>
          <w:sz w:val="20"/>
          <w:szCs w:val="20"/>
        </w:rPr>
      </w:pPr>
    </w:p>
    <w:p w14:paraId="44A8C5F2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bCs/>
          <w:sz w:val="20"/>
          <w:szCs w:val="20"/>
        </w:rPr>
        <w:t>Ukupan opseg zaduživanje (godišnja obveza anuiteta po zaduženju Općine kao i anuiteta po</w:t>
      </w:r>
      <w:r w:rsidRPr="00702B26">
        <w:rPr>
          <w:rFonts w:ascii="Verdana" w:eastAsia="Verdana" w:hAnsi="Verdana" w:cs="Courier New"/>
          <w:sz w:val="20"/>
          <w:szCs w:val="20"/>
        </w:rPr>
        <w:t xml:space="preserve"> danim jamstvima i suglasnostima (trgovačkim društvima i ustanovama Općine) </w:t>
      </w:r>
      <w:r w:rsidRPr="00702B26">
        <w:rPr>
          <w:rFonts w:ascii="Verdana" w:eastAsia="Verdana" w:hAnsi="Verdana" w:cs="Courier New"/>
          <w:bCs/>
          <w:sz w:val="20"/>
          <w:szCs w:val="20"/>
        </w:rPr>
        <w:t>ne smije</w:t>
      </w: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  <w:r w:rsidRPr="00702B26">
        <w:rPr>
          <w:rFonts w:ascii="Verdana" w:eastAsia="Verdana" w:hAnsi="Verdana" w:cs="Courier New"/>
          <w:bCs/>
          <w:sz w:val="20"/>
          <w:szCs w:val="20"/>
          <w:lang w:val="pl-PL"/>
        </w:rPr>
        <w:t>prelaziti 20% prihoda proračuna (bez prihoda od domaćih i stranih pomoći,</w:t>
      </w: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  <w:r w:rsidRPr="00702B26">
        <w:rPr>
          <w:rFonts w:ascii="Verdana" w:eastAsia="Verdana" w:hAnsi="Verdana" w:cs="Courier New"/>
          <w:sz w:val="20"/>
          <w:szCs w:val="20"/>
          <w:lang w:val="vi-VN"/>
        </w:rPr>
        <w:t>donacija,</w:t>
      </w: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  <w:r w:rsidRPr="00702B26">
        <w:rPr>
          <w:rFonts w:ascii="Verdana" w:eastAsia="Verdana" w:hAnsi="Verdana" w:cs="Courier New"/>
          <w:sz w:val="20"/>
          <w:szCs w:val="20"/>
          <w:lang w:val="vi-VN"/>
        </w:rPr>
        <w:t>sufinanciranja građana)</w:t>
      </w:r>
    </w:p>
    <w:p w14:paraId="19BE9B80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40603506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Općina se može kratkoročno zaduživati</w:t>
      </w:r>
    </w:p>
    <w:p w14:paraId="45DEF182" w14:textId="77777777" w:rsidR="00D54569" w:rsidRPr="00702B26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Bez posebnih suglasnosti</w:t>
      </w:r>
    </w:p>
    <w:p w14:paraId="14E3E943" w14:textId="77777777" w:rsidR="00D54569" w:rsidRPr="00702B26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Pokriće nelikvidnosti</w:t>
      </w:r>
    </w:p>
    <w:p w14:paraId="06786B70" w14:textId="77777777" w:rsidR="00D54569" w:rsidRPr="00702B26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sz w:val="20"/>
          <w:szCs w:val="20"/>
        </w:rPr>
        <w:t>Unutar jedne godine</w:t>
      </w:r>
    </w:p>
    <w:p w14:paraId="54BE4EB9" w14:textId="7777777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b/>
          <w:bCs/>
          <w:sz w:val="20"/>
          <w:szCs w:val="20"/>
        </w:rPr>
      </w:pPr>
    </w:p>
    <w:p w14:paraId="23DF0166" w14:textId="7F6E7667" w:rsidR="00D54569" w:rsidRPr="00702B26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702B26">
        <w:rPr>
          <w:rFonts w:ascii="Verdana" w:eastAsia="Verdana" w:hAnsi="Verdana" w:cs="Courier New"/>
          <w:b/>
          <w:bCs/>
          <w:sz w:val="20"/>
          <w:szCs w:val="20"/>
        </w:rPr>
        <w:t>Općina Tompojevci nema dugoročnih</w:t>
      </w:r>
      <w:r w:rsidRPr="00702B26">
        <w:rPr>
          <w:rFonts w:ascii="Verdana" w:eastAsia="Verdana" w:hAnsi="Verdana" w:cs="Courier New"/>
          <w:sz w:val="20"/>
          <w:szCs w:val="20"/>
        </w:rPr>
        <w:t xml:space="preserve"> </w:t>
      </w:r>
      <w:r w:rsidRPr="00702B26">
        <w:rPr>
          <w:rFonts w:ascii="Verdana" w:eastAsia="Verdana" w:hAnsi="Verdana" w:cs="Courier New"/>
          <w:b/>
          <w:bCs/>
          <w:sz w:val="20"/>
          <w:szCs w:val="20"/>
        </w:rPr>
        <w:t>zaduženja.</w:t>
      </w:r>
    </w:p>
    <w:p w14:paraId="10B85B4E" w14:textId="77777777" w:rsidR="00306654" w:rsidRDefault="00306654" w:rsidP="00306654">
      <w:pPr>
        <w:spacing w:after="0" w:line="240" w:lineRule="auto"/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464894E7" w14:textId="366D0DD4" w:rsidR="00306654" w:rsidRPr="00306654" w:rsidRDefault="00306654" w:rsidP="00306654">
      <w:pPr>
        <w:spacing w:after="0" w:line="240" w:lineRule="auto"/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306654">
        <w:rPr>
          <w:rFonts w:ascii="Verdana" w:eastAsia="Verdana" w:hAnsi="Verdana" w:cs="Courier New"/>
          <w:b/>
          <w:sz w:val="32"/>
          <w:szCs w:val="32"/>
        </w:rPr>
        <w:t>PRORAČUN OPĆINE TOMPOJEVCI ZA</w:t>
      </w:r>
    </w:p>
    <w:p w14:paraId="698549C4" w14:textId="77777777" w:rsidR="00306654" w:rsidRPr="00306654" w:rsidRDefault="00306654" w:rsidP="00306654">
      <w:pPr>
        <w:spacing w:after="0" w:line="240" w:lineRule="auto"/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306654">
        <w:rPr>
          <w:rFonts w:ascii="Verdana" w:eastAsia="Verdana" w:hAnsi="Verdana" w:cs="Courier New"/>
          <w:b/>
          <w:sz w:val="32"/>
          <w:szCs w:val="32"/>
        </w:rPr>
        <w:t xml:space="preserve"> 2025.GODINU</w:t>
      </w:r>
    </w:p>
    <w:p w14:paraId="396BDAF7" w14:textId="77777777" w:rsidR="00306654" w:rsidRPr="00306654" w:rsidRDefault="00306654" w:rsidP="00306654">
      <w:pPr>
        <w:spacing w:after="0" w:line="240" w:lineRule="auto"/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306654">
        <w:rPr>
          <w:rFonts w:ascii="Verdana" w:eastAsia="Verdana" w:hAnsi="Verdana" w:cs="Courier New"/>
          <w:b/>
          <w:sz w:val="32"/>
          <w:szCs w:val="32"/>
        </w:rPr>
        <w:t>I PROJEKCIJA PRORAČUNA ZA</w:t>
      </w:r>
    </w:p>
    <w:p w14:paraId="79BC0BBF" w14:textId="77777777" w:rsidR="00306654" w:rsidRPr="00306654" w:rsidRDefault="00306654" w:rsidP="00306654">
      <w:pPr>
        <w:spacing w:after="0" w:line="240" w:lineRule="auto"/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306654">
        <w:rPr>
          <w:rFonts w:ascii="Verdana" w:eastAsia="Verdana" w:hAnsi="Verdana" w:cs="Courier New"/>
          <w:b/>
          <w:sz w:val="32"/>
          <w:szCs w:val="32"/>
        </w:rPr>
        <w:t>2026. I 2027. GODINU</w:t>
      </w:r>
    </w:p>
    <w:p w14:paraId="3E1B8C4F" w14:textId="77777777" w:rsidR="00306654" w:rsidRPr="00702B26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1E27828" w14:textId="77777777" w:rsidR="00306654" w:rsidRPr="00702B26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8287EFC" w14:textId="77777777" w:rsidR="00306654" w:rsidRPr="005859F3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 w:rsidRPr="005859F3">
        <w:rPr>
          <w:rFonts w:ascii="Verdana" w:eastAsia="Verdana" w:hAnsi="Verdana" w:cs="Courier New"/>
          <w:sz w:val="20"/>
          <w:szCs w:val="20"/>
        </w:rPr>
        <w:t xml:space="preserve">PRIHODI I PRIMICI, RASHODI I IZDACI PRORAČUNA 2025. </w:t>
      </w:r>
    </w:p>
    <w:p w14:paraId="349C44F7" w14:textId="77777777" w:rsidR="00306654" w:rsidRPr="005859F3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 w:rsidRPr="005859F3">
        <w:rPr>
          <w:rFonts w:ascii="Verdana" w:eastAsia="Verdana" w:hAnsi="Verdana" w:cs="Courier New"/>
          <w:sz w:val="20"/>
          <w:szCs w:val="20"/>
        </w:rPr>
        <w:t>I PROJEKCIJE PRORAČUNA ZA 2026. 2027. GODINU                                          URAVNOTEŽENI SU</w:t>
      </w:r>
    </w:p>
    <w:p w14:paraId="6A0E9324" w14:textId="77777777" w:rsidR="00306654" w:rsidRPr="005859F3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C2FBCFF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E725236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2C8B7B5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7A6D3F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drawing>
          <wp:inline distT="0" distB="0" distL="0" distR="0" wp14:anchorId="393C0B16" wp14:editId="4F820D14">
            <wp:extent cx="5791200" cy="3752850"/>
            <wp:effectExtent l="0" t="0" r="19050" b="1905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3C8FA4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35F6E34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F13A2BF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F575BC4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5685B13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F7ABED1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2F74CBE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447CF66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1EC1C46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A058750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124F8C1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267E526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37A3DCB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6CE9EF9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FB58AD3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29BAEBA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98AC287" w14:textId="77777777" w:rsidR="00306654" w:rsidRPr="00A90BF7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A90BF7">
        <w:rPr>
          <w:rFonts w:ascii="Verdana" w:eastAsia="Verdana" w:hAnsi="Verdana" w:cs="Courier New"/>
          <w:b/>
          <w:sz w:val="20"/>
          <w:szCs w:val="20"/>
        </w:rPr>
        <w:lastRenderedPageBreak/>
        <w:t>PRIHODI PRORAČUNA ZA 2025.</w:t>
      </w:r>
    </w:p>
    <w:p w14:paraId="4B558E49" w14:textId="77777777" w:rsidR="00306654" w:rsidRPr="00A90BF7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306654" w:rsidRPr="00A90BF7" w14:paraId="26CE10D4" w14:textId="77777777" w:rsidTr="00581356">
        <w:trPr>
          <w:trHeight w:val="45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05DD0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0BF7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BBF7E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0BF7">
              <w:rPr>
                <w:rFonts w:ascii="Verdana" w:eastAsia="Verdana" w:hAnsi="Verdana" w:cs="Courier New"/>
                <w:sz w:val="20"/>
                <w:szCs w:val="20"/>
              </w:rPr>
              <w:t>Proračun 2025.</w:t>
            </w:r>
          </w:p>
        </w:tc>
      </w:tr>
      <w:tr w:rsidR="00306654" w:rsidRPr="00A90BF7" w14:paraId="58ABD75B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5681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6343" w14:textId="0531DC59" w:rsidR="00306654" w:rsidRPr="00A90BF7" w:rsidRDefault="00306654" w:rsidP="0058135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/>
                <w:bCs/>
                <w:sz w:val="18"/>
                <w:szCs w:val="18"/>
              </w:rPr>
              <w:t>5.78</w:t>
            </w:r>
            <w:r w:rsidR="00030A4B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A90BF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A90BF7">
              <w:rPr>
                <w:rFonts w:ascii="Tahoma" w:hAnsi="Tahoma" w:cs="Tahoma"/>
                <w:b/>
                <w:bCs/>
                <w:sz w:val="18"/>
                <w:szCs w:val="18"/>
              </w:rPr>
              <w:t>9,00</w:t>
            </w:r>
          </w:p>
        </w:tc>
      </w:tr>
      <w:tr w:rsidR="00306654" w:rsidRPr="00A90BF7" w14:paraId="7B7A7927" w14:textId="77777777" w:rsidTr="00581356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ABFA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8191" w14:textId="77777777" w:rsidR="00306654" w:rsidRPr="00A90BF7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342.518,00</w:t>
            </w:r>
          </w:p>
        </w:tc>
      </w:tr>
      <w:tr w:rsidR="00306654" w:rsidRPr="00A90BF7" w14:paraId="787487DB" w14:textId="77777777" w:rsidTr="00581356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D970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525C" w14:textId="77777777" w:rsidR="00306654" w:rsidRPr="00A90BF7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4.8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06.75</w:t>
            </w:r>
            <w:r w:rsidRPr="00A90BF7">
              <w:rPr>
                <w:rFonts w:ascii="Tahoma" w:hAnsi="Tahoma" w:cs="Tahoma"/>
                <w:bCs/>
                <w:sz w:val="18"/>
                <w:szCs w:val="18"/>
              </w:rPr>
              <w:t>6,00</w:t>
            </w:r>
          </w:p>
        </w:tc>
      </w:tr>
      <w:tr w:rsidR="00306654" w:rsidRPr="00A90BF7" w14:paraId="6ADECDC2" w14:textId="77777777" w:rsidTr="00581356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E71A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A4BE" w14:textId="77777777" w:rsidR="00306654" w:rsidRPr="00A90BF7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563.300,00</w:t>
            </w:r>
          </w:p>
        </w:tc>
      </w:tr>
      <w:tr w:rsidR="00306654" w:rsidRPr="00A90BF7" w14:paraId="643151DC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8949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6819" w14:textId="77777777" w:rsidR="00306654" w:rsidRPr="00A90BF7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69.575,00</w:t>
            </w:r>
          </w:p>
        </w:tc>
      </w:tr>
      <w:tr w:rsidR="00306654" w:rsidRPr="00A90BF7" w14:paraId="59AF759B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54E7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>66 Ostali prihodi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FA55" w14:textId="77777777" w:rsidR="00306654" w:rsidRPr="00A90BF7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2.500,00</w:t>
            </w:r>
          </w:p>
        </w:tc>
      </w:tr>
      <w:tr w:rsidR="00306654" w:rsidRPr="00A90BF7" w14:paraId="4757EA12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9646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C28A" w14:textId="77777777" w:rsidR="00306654" w:rsidRPr="00A90BF7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 xml:space="preserve">660,00 </w:t>
            </w:r>
          </w:p>
        </w:tc>
      </w:tr>
      <w:tr w:rsidR="00306654" w:rsidRPr="00A90BF7" w14:paraId="2C92DCC8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8863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FB42" w14:textId="77777777" w:rsidR="00306654" w:rsidRPr="00A90BF7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31.25</w:t>
            </w:r>
            <w:r w:rsidRPr="00A90BF7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</w:tr>
      <w:tr w:rsidR="00306654" w:rsidRPr="00A90BF7" w14:paraId="3887184A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BB47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</w:t>
            </w:r>
            <w:proofErr w:type="spellStart"/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>neproizvedene</w:t>
            </w:r>
            <w:proofErr w:type="spellEnd"/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 xml:space="preserve">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455E" w14:textId="77777777" w:rsidR="00306654" w:rsidRPr="00A90BF7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17.470,00</w:t>
            </w:r>
          </w:p>
        </w:tc>
      </w:tr>
      <w:tr w:rsidR="00306654" w:rsidRPr="00A90BF7" w14:paraId="17D2579B" w14:textId="77777777" w:rsidTr="00581356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B35D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sz w:val="18"/>
                <w:szCs w:val="18"/>
              </w:rPr>
              <w:t>72</w:t>
            </w:r>
            <w:r w:rsidRPr="00A90BF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Prihodi od prodaje proizvedene dugotrajne imovine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C085" w14:textId="77777777" w:rsidR="00306654" w:rsidRPr="00A90BF7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0BF7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3.78</w:t>
            </w:r>
            <w:r w:rsidRPr="00A90BF7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</w:tr>
      <w:tr w:rsidR="00306654" w:rsidRPr="00A90BF7" w14:paraId="07762111" w14:textId="77777777" w:rsidTr="00581356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78C01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2F322" w14:textId="77777777" w:rsidR="00306654" w:rsidRPr="00A90BF7" w:rsidRDefault="00306654" w:rsidP="00581356">
            <w:pPr>
              <w:widowControl w:val="0"/>
              <w:tabs>
                <w:tab w:val="left" w:pos="1870"/>
                <w:tab w:val="right" w:pos="9014"/>
                <w:tab w:val="right" w:pos="10601"/>
                <w:tab w:val="right" w:pos="12188"/>
                <w:tab w:val="right" w:pos="13776"/>
                <w:tab w:val="right" w:pos="15363"/>
              </w:tabs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A90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5.816.559,00</w:t>
            </w:r>
          </w:p>
        </w:tc>
      </w:tr>
      <w:tr w:rsidR="00306654" w:rsidRPr="00A90BF7" w14:paraId="492CD1E3" w14:textId="77777777" w:rsidTr="00581356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F481D" w14:textId="77777777" w:rsidR="00306654" w:rsidRPr="00A90BF7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b/>
                <w:sz w:val="18"/>
                <w:szCs w:val="18"/>
              </w:rPr>
              <w:t>Raspoloživa sredstva iz prethodnih godina za pokriće manjka prihoda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E708D" w14:textId="77777777" w:rsidR="00306654" w:rsidRPr="00A90BF7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  <w:p w14:paraId="2190C045" w14:textId="77777777" w:rsidR="00306654" w:rsidRPr="00A90BF7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A90BF7">
              <w:rPr>
                <w:rFonts w:ascii="Verdana" w:eastAsia="Verdana" w:hAnsi="Verdana" w:cs="Courier New"/>
                <w:b/>
                <w:sz w:val="18"/>
                <w:szCs w:val="18"/>
              </w:rPr>
              <w:t>20.000,00</w:t>
            </w:r>
          </w:p>
        </w:tc>
      </w:tr>
    </w:tbl>
    <w:p w14:paraId="577CBB7E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731BC4B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A117C2F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BD60958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D312899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7A6D3F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4B3C9A0C" wp14:editId="12DD7ADB">
            <wp:extent cx="5410200" cy="4581525"/>
            <wp:effectExtent l="0" t="0" r="0" b="0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CDC7AC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1EF2ED4" w14:textId="73A17434" w:rsidR="00306654" w:rsidRPr="00306654" w:rsidRDefault="00306654" w:rsidP="003066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306654">
        <w:rPr>
          <w:rFonts w:ascii="Verdana" w:eastAsia="Verdana" w:hAnsi="Verdana" w:cs="Courier New"/>
          <w:sz w:val="20"/>
          <w:szCs w:val="20"/>
        </w:rPr>
        <w:t xml:space="preserve">Prihodi poslovanja obuhvaćaju: </w:t>
      </w:r>
    </w:p>
    <w:p w14:paraId="5FE44C29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 xml:space="preserve">1a) Prihodi od poreza obuhvaćaju poreze koji su isključivi prihod Općine Tompojevci propisani Odlukom o porezima. </w:t>
      </w:r>
    </w:p>
    <w:p w14:paraId="544AB63B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513DE081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>1b) Prihodi od pomoći iz inozemstva (darovnice) i od subjekata unutar opće države uključuju prihode od pomoći iz državnog proračuna, pomoći iz županijskog proračuna, pomoći od ostalih subjekata unutar opće države (HZZ-a, HZZO-a), kapitalne pomoći iz državnog proračuna i od ostalih izvanproračunskih korisnika državnog proračuna (Fond za zaštitu okoliša) i kapitalne pomoći iz državnog proračuna temeljem prijenosa EU sredstava.</w:t>
      </w:r>
    </w:p>
    <w:p w14:paraId="4DDAA45B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57E01BB0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>1c) Prihode od imovine čine prihodi od financijske imovine (kamate na depozit po viđenju i zatezne kamate) i Prihodi od nefinancijske imovine (naknada od koncesije i pravo služnosti, prihod od zakupa i iznajmljivanja imovine, spomenička renta,  legalizacija objekata, naknada za eksploataciju mineralnih sirovina)</w:t>
      </w:r>
    </w:p>
    <w:p w14:paraId="4B93069A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62712FB7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>1d) Prihodi od administrativnih pristojbi i po posebnim propisima, u koje se ubrajaju prihodi od administrativnih pristojbi (po Odluci vijeća, upravne pristojbe), prihodi po posebnim propisima (vodni doprinos, šumski doprinos, komunalne naknade i komunalni doprinos, grobna naknada)</w:t>
      </w:r>
    </w:p>
    <w:p w14:paraId="2B405D4B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600E2476" w14:textId="64DEFD4C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>1e) Ostali prihodi (prihodi ovršnog postupka za komunalnu naknadu)</w:t>
      </w:r>
    </w:p>
    <w:p w14:paraId="1999A4F3" w14:textId="77777777" w:rsidR="00306654" w:rsidRPr="00BF110A" w:rsidRDefault="00306654" w:rsidP="003066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 xml:space="preserve">Prihodi od prodaje nefinancijske imovine </w:t>
      </w:r>
    </w:p>
    <w:p w14:paraId="3659CF33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>2a) prihod od prodaje zemljišta u vlasništvu RH</w:t>
      </w:r>
    </w:p>
    <w:p w14:paraId="2E6EB7F6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8942970" w14:textId="77777777" w:rsidR="00306654" w:rsidRPr="00BF110A" w:rsidRDefault="00306654" w:rsidP="00306654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Verdana" w:hAnsi="Verdana" w:cs="Courier New"/>
          <w:sz w:val="20"/>
          <w:szCs w:val="20"/>
        </w:rPr>
      </w:pPr>
      <w:r w:rsidRPr="00BF110A">
        <w:rPr>
          <w:rFonts w:ascii="Verdana" w:eastAsia="Verdana" w:hAnsi="Verdana" w:cs="Courier New"/>
          <w:sz w:val="20"/>
          <w:szCs w:val="20"/>
        </w:rPr>
        <w:t>2b) prihod od prodaje proizvedene dugotrajne imovine</w:t>
      </w:r>
    </w:p>
    <w:p w14:paraId="17069C0F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FF0000"/>
          <w:sz w:val="20"/>
          <w:szCs w:val="20"/>
        </w:rPr>
      </w:pPr>
    </w:p>
    <w:p w14:paraId="739DB447" w14:textId="77777777" w:rsidR="00306654" w:rsidRPr="00BF110A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BF110A">
        <w:rPr>
          <w:rFonts w:ascii="Verdana" w:eastAsia="Verdana" w:hAnsi="Verdana" w:cs="Courier New"/>
          <w:b/>
          <w:sz w:val="20"/>
          <w:szCs w:val="20"/>
        </w:rPr>
        <w:t>RASHODI PRORAČUNA ZA 2025.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127"/>
      </w:tblGrid>
      <w:tr w:rsidR="00306654" w:rsidRPr="00BF110A" w14:paraId="01B9A7E4" w14:textId="77777777" w:rsidTr="00581356">
        <w:trPr>
          <w:trHeight w:val="546"/>
        </w:trPr>
        <w:tc>
          <w:tcPr>
            <w:tcW w:w="6804" w:type="dxa"/>
            <w:shd w:val="clear" w:color="auto" w:fill="FFFFFF"/>
            <w:vAlign w:val="center"/>
          </w:tcPr>
          <w:p w14:paraId="0419F6EA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BF110A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32230DE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BF110A">
              <w:rPr>
                <w:rFonts w:ascii="Verdana" w:eastAsia="Verdana" w:hAnsi="Verdana" w:cs="Courier New"/>
                <w:sz w:val="20"/>
                <w:szCs w:val="20"/>
              </w:rPr>
              <w:t>Proračun 2025.</w:t>
            </w:r>
          </w:p>
        </w:tc>
      </w:tr>
      <w:tr w:rsidR="00306654" w:rsidRPr="00BF110A" w14:paraId="5DC0CB90" w14:textId="77777777" w:rsidTr="00581356">
        <w:trPr>
          <w:trHeight w:val="263"/>
        </w:trPr>
        <w:tc>
          <w:tcPr>
            <w:tcW w:w="6804" w:type="dxa"/>
            <w:vAlign w:val="center"/>
          </w:tcPr>
          <w:p w14:paraId="4A6A9764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3 RASHODI POSLOVANJA </w:t>
            </w:r>
          </w:p>
        </w:tc>
        <w:tc>
          <w:tcPr>
            <w:tcW w:w="2127" w:type="dxa"/>
          </w:tcPr>
          <w:p w14:paraId="763EAEB2" w14:textId="77777777" w:rsidR="00306654" w:rsidRPr="00BF110A" w:rsidRDefault="00306654" w:rsidP="0058135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/>
                <w:bCs/>
                <w:sz w:val="18"/>
                <w:szCs w:val="18"/>
              </w:rPr>
              <w:t>1.814.078,00</w:t>
            </w:r>
          </w:p>
        </w:tc>
      </w:tr>
      <w:tr w:rsidR="00306654" w:rsidRPr="00BF110A" w14:paraId="3F73AAE0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484E388A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2127" w:type="dxa"/>
          </w:tcPr>
          <w:p w14:paraId="7BDBEF2E" w14:textId="77777777" w:rsidR="00306654" w:rsidRPr="00BF110A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Cs/>
                <w:sz w:val="18"/>
                <w:szCs w:val="18"/>
              </w:rPr>
              <w:t>540.700,00</w:t>
            </w:r>
          </w:p>
        </w:tc>
      </w:tr>
      <w:tr w:rsidR="00306654" w:rsidRPr="00BF110A" w14:paraId="396489C8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536F3442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 xml:space="preserve">32 Materijalni rashodi </w:t>
            </w:r>
          </w:p>
        </w:tc>
        <w:tc>
          <w:tcPr>
            <w:tcW w:w="2127" w:type="dxa"/>
          </w:tcPr>
          <w:p w14:paraId="6C349C7E" w14:textId="77777777" w:rsidR="00306654" w:rsidRPr="00BF110A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78.233</w:t>
            </w:r>
            <w:r w:rsidRPr="00BF110A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306654" w:rsidRPr="00BF110A" w14:paraId="76B23004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610688CF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 xml:space="preserve">34 Financijski rashodi </w:t>
            </w:r>
          </w:p>
        </w:tc>
        <w:tc>
          <w:tcPr>
            <w:tcW w:w="2127" w:type="dxa"/>
          </w:tcPr>
          <w:p w14:paraId="52BB4E28" w14:textId="77777777" w:rsidR="00306654" w:rsidRPr="00BF110A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Cs/>
                <w:sz w:val="18"/>
                <w:szCs w:val="18"/>
              </w:rPr>
              <w:t>6.370,00</w:t>
            </w:r>
          </w:p>
        </w:tc>
      </w:tr>
      <w:tr w:rsidR="00306654" w:rsidRPr="00BF110A" w14:paraId="50BE3FEA" w14:textId="77777777" w:rsidTr="00581356">
        <w:trPr>
          <w:trHeight w:val="551"/>
        </w:trPr>
        <w:tc>
          <w:tcPr>
            <w:tcW w:w="6804" w:type="dxa"/>
            <w:vAlign w:val="center"/>
          </w:tcPr>
          <w:p w14:paraId="2CE90157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 xml:space="preserve">36 Pomoći dane u inozemstvo i unutar opće države </w:t>
            </w:r>
          </w:p>
        </w:tc>
        <w:tc>
          <w:tcPr>
            <w:tcW w:w="2127" w:type="dxa"/>
          </w:tcPr>
          <w:p w14:paraId="01E53210" w14:textId="77777777" w:rsidR="00306654" w:rsidRPr="00BF110A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bCs/>
                <w:sz w:val="18"/>
                <w:szCs w:val="18"/>
              </w:rPr>
              <w:t>123.885,00</w:t>
            </w:r>
          </w:p>
        </w:tc>
      </w:tr>
      <w:tr w:rsidR="00306654" w:rsidRPr="00BF110A" w14:paraId="6B7CBB37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2DA6E561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2127" w:type="dxa"/>
          </w:tcPr>
          <w:p w14:paraId="76BA7DE5" w14:textId="77777777" w:rsidR="00306654" w:rsidRPr="00BF110A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8</w:t>
            </w:r>
            <w:r w:rsidRPr="00BF110A">
              <w:rPr>
                <w:rFonts w:ascii="Tahoma" w:hAnsi="Tahoma" w:cs="Tahoma"/>
                <w:bCs/>
                <w:sz w:val="18"/>
                <w:szCs w:val="18"/>
              </w:rPr>
              <w:t>.630,00</w:t>
            </w:r>
          </w:p>
        </w:tc>
      </w:tr>
      <w:tr w:rsidR="00306654" w:rsidRPr="00BF110A" w14:paraId="3F51ED75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2B272518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 xml:space="preserve">38 Ostali rashodi </w:t>
            </w:r>
          </w:p>
        </w:tc>
        <w:tc>
          <w:tcPr>
            <w:tcW w:w="2127" w:type="dxa"/>
          </w:tcPr>
          <w:p w14:paraId="17C6C3CA" w14:textId="77777777" w:rsidR="00306654" w:rsidRPr="00BF110A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Cs/>
                <w:sz w:val="18"/>
                <w:szCs w:val="18"/>
              </w:rPr>
              <w:t>96.260,00</w:t>
            </w:r>
          </w:p>
        </w:tc>
      </w:tr>
      <w:tr w:rsidR="00306654" w:rsidRPr="00BF110A" w14:paraId="363DEAFE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450F6983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2127" w:type="dxa"/>
          </w:tcPr>
          <w:p w14:paraId="7B4F8F6B" w14:textId="77777777" w:rsidR="00306654" w:rsidRPr="00BF110A" w:rsidRDefault="00306654" w:rsidP="00581356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/>
                <w:bCs/>
                <w:sz w:val="18"/>
                <w:szCs w:val="18"/>
              </w:rPr>
              <w:t>4.022.481,00</w:t>
            </w:r>
          </w:p>
        </w:tc>
      </w:tr>
      <w:tr w:rsidR="00306654" w:rsidRPr="00BF110A" w14:paraId="7849FBA1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006CD424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bCs/>
                <w:sz w:val="18"/>
                <w:szCs w:val="18"/>
              </w:rPr>
              <w:t xml:space="preserve">41 Rashodi za nabavu </w:t>
            </w:r>
            <w:proofErr w:type="spellStart"/>
            <w:r w:rsidRPr="00BF110A">
              <w:rPr>
                <w:rFonts w:ascii="Verdana" w:eastAsia="Verdana" w:hAnsi="Verdana" w:cs="Courier New"/>
                <w:bCs/>
                <w:sz w:val="18"/>
                <w:szCs w:val="18"/>
              </w:rPr>
              <w:t>neproizvedene</w:t>
            </w:r>
            <w:proofErr w:type="spellEnd"/>
            <w:r w:rsidRPr="00BF110A">
              <w:rPr>
                <w:rFonts w:ascii="Verdana" w:eastAsia="Verdana" w:hAnsi="Verdana" w:cs="Courier New"/>
                <w:bCs/>
                <w:sz w:val="18"/>
                <w:szCs w:val="18"/>
              </w:rPr>
              <w:t xml:space="preserve"> imovine</w:t>
            </w:r>
          </w:p>
        </w:tc>
        <w:tc>
          <w:tcPr>
            <w:tcW w:w="2127" w:type="dxa"/>
          </w:tcPr>
          <w:p w14:paraId="6A130F97" w14:textId="77777777" w:rsidR="00306654" w:rsidRPr="00BF110A" w:rsidRDefault="00306654" w:rsidP="00581356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F110A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</w:tr>
      <w:tr w:rsidR="00306654" w:rsidRPr="00BF110A" w14:paraId="00925EF0" w14:textId="77777777" w:rsidTr="00581356">
        <w:trPr>
          <w:trHeight w:val="397"/>
        </w:trPr>
        <w:tc>
          <w:tcPr>
            <w:tcW w:w="6804" w:type="dxa"/>
            <w:vAlign w:val="center"/>
          </w:tcPr>
          <w:p w14:paraId="49474ABF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2127" w:type="dxa"/>
          </w:tcPr>
          <w:p w14:paraId="4F0B5395" w14:textId="77777777" w:rsidR="00306654" w:rsidRPr="00BF110A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ahoma" w:hAnsi="Tahoma" w:cs="Tahoma"/>
                <w:bCs/>
                <w:sz w:val="18"/>
                <w:szCs w:val="18"/>
              </w:rPr>
              <w:t>4.020.481,00</w:t>
            </w:r>
          </w:p>
        </w:tc>
      </w:tr>
      <w:tr w:rsidR="00306654" w:rsidRPr="00BF110A" w14:paraId="0A785AEB" w14:textId="77777777" w:rsidTr="00581356">
        <w:trPr>
          <w:trHeight w:val="454"/>
        </w:trPr>
        <w:tc>
          <w:tcPr>
            <w:tcW w:w="6804" w:type="dxa"/>
            <w:shd w:val="clear" w:color="auto" w:fill="FFFFFF"/>
            <w:vAlign w:val="center"/>
          </w:tcPr>
          <w:p w14:paraId="0A50CE92" w14:textId="77777777" w:rsidR="00306654" w:rsidRPr="00BF110A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F110A">
              <w:rPr>
                <w:rFonts w:ascii="Verdana" w:eastAsia="Verdana" w:hAnsi="Verdana" w:cs="Courier New"/>
                <w:b/>
                <w:sz w:val="18"/>
                <w:szCs w:val="18"/>
              </w:rPr>
              <w:t>UKUPNI RASHODI (3+4)</w:t>
            </w:r>
          </w:p>
        </w:tc>
        <w:tc>
          <w:tcPr>
            <w:tcW w:w="2127" w:type="dxa"/>
            <w:shd w:val="clear" w:color="auto" w:fill="FFFFFF"/>
          </w:tcPr>
          <w:p w14:paraId="59115F0D" w14:textId="77777777" w:rsidR="00306654" w:rsidRPr="00BF110A" w:rsidRDefault="00306654" w:rsidP="00581356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10A">
              <w:rPr>
                <w:rFonts w:ascii="Times New Roman" w:hAnsi="Times New Roman"/>
                <w:b/>
                <w:bCs/>
                <w:sz w:val="24"/>
                <w:szCs w:val="24"/>
              </w:rPr>
              <w:t>5.836.559,00</w:t>
            </w:r>
          </w:p>
        </w:tc>
      </w:tr>
    </w:tbl>
    <w:p w14:paraId="4644956E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7A6D3F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528E0B7C" wp14:editId="2A4C528F">
            <wp:extent cx="5448300" cy="6534150"/>
            <wp:effectExtent l="0" t="0" r="0" b="0"/>
            <wp:docPr id="3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256F4E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72BF514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FF0000"/>
          <w:sz w:val="20"/>
          <w:szCs w:val="20"/>
        </w:rPr>
      </w:pPr>
    </w:p>
    <w:p w14:paraId="7C65CFC3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8E06153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302A62A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17AD5A26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06822D2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60CB9EA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 xml:space="preserve">1.Rashodi poslovanja obuhvaćaju </w:t>
      </w:r>
    </w:p>
    <w:p w14:paraId="114527F1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251A0B8A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>1a) Rashodi za zaposlene čine rashodi za plaće (sredstva za plaće djelatnika općinske  uprave, projekta zaželi i javnih radova), doprinosi za plaće (planirane obveze na ime doprinosi iz i na plaće), te ostali rashodi za zaposlene (rashodi za materijalna prava temeljem Pravilnika o materijalnim pravima djelatnika).</w:t>
      </w:r>
    </w:p>
    <w:p w14:paraId="73396F71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7D7538BC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lastRenderedPageBreak/>
        <w:t xml:space="preserve">1b) Materijalni rashodi obuhvaćaju rashode za usluge. Naknade troškova zaposlenima (službena putovanja, naknade za prijevoz za dolazak na posao i s posla, stručno usavršavanje zaposlenima i ostale naknade troškova zaposlenima). Rashodi za materijal i energiju (uredski materijal, materijal i sirovine, energija, materijal i dijelovi za tekuće i investicijsko održavanje, sitan inventar i auto gume i sl.) Rashodi za usluge (usluge telefona i pošte, tekućeg investicijskog održavanje, usluge promidžbe i informiranja, komunalne usluge, zdravstvene i veterinarske usluge, računalne i ostale usluge). Naknade troškova osobama izvan radnog odnosa (stručno osposobljavanje) te ostali nespomenuti rashodi poslovanja (naknade za rad predstavničkih i izvršnih tijela, povjerenstva i sl., premija osiguranja, reprezentacija, članarina, pristojbe, naknade i ostali nespomenuti rashodi poslovanja). </w:t>
      </w:r>
    </w:p>
    <w:p w14:paraId="150E79B6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76006DE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>1c) U okviru Financijskih rashoda planirani su rashodi za bankarske usluge i usluge platnog prometa, kamate i ostale nespomenute financijske rashode.</w:t>
      </w:r>
    </w:p>
    <w:p w14:paraId="69F464FD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FD31ECA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>1d) Subvencije se odnose na program potpore u poljoprivredi i gospodarstvu.</w:t>
      </w:r>
    </w:p>
    <w:p w14:paraId="41512644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135D458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>1d) Pomoći dane u inozemstvo i unutar opće države odnose se na  Ugovor o sufinanciranju provedbe medijske kampanje borbe protiv ovisnosti i duhanskim proizvodima, alkoholu i drogama na području VSŽ i projekt besplatnog organiziranja  prijevoza umirovljenika, predškolski odgoj i osnovnoškolsko obrazovanje, prijenos sredstava za rad proračunskog korisnika, (RA TINTL)</w:t>
      </w:r>
      <w:r w:rsidRPr="00A93328">
        <w:rPr>
          <w:rFonts w:ascii="Verdana" w:eastAsia="Times New Roman" w:hAnsi="Verdana" w:cs="Courier New"/>
          <w:sz w:val="20"/>
          <w:szCs w:val="20"/>
          <w:lang w:eastAsia="hr-HR"/>
        </w:rPr>
        <w:t xml:space="preserve"> , sufinanciranje izgradnje ceste Mikluševci-Čakovci i parkirališta uz GKG Mikluševci, sufinanciranje izrade projektne dokumentacije za rekonstrukciju vodovodnu mreže u </w:t>
      </w:r>
      <w:proofErr w:type="spellStart"/>
      <w:r w:rsidRPr="00A93328">
        <w:rPr>
          <w:rFonts w:ascii="Verdana" w:eastAsia="Times New Roman" w:hAnsi="Verdana" w:cs="Courier New"/>
          <w:sz w:val="20"/>
          <w:szCs w:val="20"/>
          <w:lang w:eastAsia="hr-HR"/>
        </w:rPr>
        <w:t>Berku</w:t>
      </w:r>
      <w:proofErr w:type="spellEnd"/>
      <w:r w:rsidRPr="00A93328">
        <w:rPr>
          <w:rFonts w:ascii="Verdana" w:eastAsia="Times New Roman" w:hAnsi="Verdana" w:cs="Courier New"/>
          <w:sz w:val="20"/>
          <w:szCs w:val="20"/>
          <w:lang w:eastAsia="hr-HR"/>
        </w:rPr>
        <w:t xml:space="preserve"> i </w:t>
      </w:r>
      <w:proofErr w:type="spellStart"/>
      <w:r w:rsidRPr="00A93328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Pr="00A93328">
        <w:rPr>
          <w:rFonts w:ascii="Verdana" w:eastAsia="Verdana" w:hAnsi="Verdana" w:cs="Courier New"/>
          <w:sz w:val="20"/>
          <w:szCs w:val="20"/>
        </w:rPr>
        <w:t>.</w:t>
      </w:r>
    </w:p>
    <w:p w14:paraId="69202568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11480723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>1e) Naknade građanima i kućanstvima obuhvaćaju rashode na ime pomoći i naknada iz Socijalnog programa. Stipendiranje svih studenata preddiplomskih i diplomskih, stručnih i sveučilišnih studija, sufinanciranje linijskog prijevoza putnika.</w:t>
      </w:r>
    </w:p>
    <w:p w14:paraId="134682F7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131AE885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 xml:space="preserve">1f) </w:t>
      </w:r>
      <w:r w:rsidRPr="00A93328">
        <w:rPr>
          <w:rFonts w:ascii="Verdana" w:eastAsia="Verdana" w:hAnsi="Verdana" w:cs="Courier New"/>
          <w:bCs/>
          <w:sz w:val="20"/>
          <w:szCs w:val="20"/>
        </w:rPr>
        <w:t>Ostali rashodi</w:t>
      </w:r>
      <w:r w:rsidRPr="00A93328">
        <w:rPr>
          <w:rFonts w:ascii="Verdana" w:eastAsia="Verdana" w:hAnsi="Verdana" w:cs="Courier New"/>
          <w:b/>
          <w:bCs/>
          <w:sz w:val="20"/>
          <w:szCs w:val="20"/>
        </w:rPr>
        <w:t xml:space="preserve"> -</w:t>
      </w:r>
      <w:r w:rsidRPr="00A93328">
        <w:rPr>
          <w:rFonts w:ascii="Verdana" w:eastAsia="Verdana" w:hAnsi="Verdana" w:cs="Courier New"/>
          <w:sz w:val="20"/>
          <w:szCs w:val="20"/>
        </w:rPr>
        <w:t xml:space="preserve"> Donacije (naknade za rad udruga u kulturi, sportu, javne potrebe ostalih udruga, razvoj civilnog društva, , financiranje političkih stranaka i sl.)</w:t>
      </w:r>
    </w:p>
    <w:p w14:paraId="0A56DEEE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  <w:lang w:val="vi-VN"/>
        </w:rPr>
        <w:t xml:space="preserve"> </w:t>
      </w:r>
      <w:r w:rsidRPr="00A93328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41B3152C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 xml:space="preserve">2. Rashodi za nabavu nefinancijske imovine </w:t>
      </w:r>
    </w:p>
    <w:p w14:paraId="0E40021E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489DF72A" w14:textId="77777777" w:rsidR="00306654" w:rsidRPr="00A93328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alibri"/>
          <w:sz w:val="20"/>
          <w:szCs w:val="20"/>
        </w:rPr>
      </w:pPr>
      <w:r w:rsidRPr="00A93328">
        <w:rPr>
          <w:rFonts w:ascii="Verdana" w:eastAsia="Verdana" w:hAnsi="Verdana" w:cs="Courier New"/>
          <w:sz w:val="20"/>
          <w:szCs w:val="20"/>
        </w:rPr>
        <w:t xml:space="preserve">2a) </w:t>
      </w:r>
      <w:r w:rsidRPr="00A93328">
        <w:rPr>
          <w:rFonts w:eastAsia="Verdana" w:cs="Calibri"/>
        </w:rPr>
        <w:t xml:space="preserve">Rashodi planirani za nabavu proizvedene dugotrajne imovine </w:t>
      </w:r>
      <w:r w:rsidRPr="00A93328">
        <w:rPr>
          <w:rFonts w:cs="Calibri"/>
        </w:rPr>
        <w:t>odnose se na r</w:t>
      </w:r>
      <w:r w:rsidRPr="00A93328">
        <w:rPr>
          <w:rFonts w:eastAsia="Verdana" w:cs="Calibri"/>
        </w:rPr>
        <w:t xml:space="preserve">ashode za nabavu </w:t>
      </w:r>
      <w:r w:rsidRPr="00A93328">
        <w:rPr>
          <w:rFonts w:ascii="Verdana" w:eastAsia="Verdana" w:hAnsi="Verdana" w:cs="Calibri"/>
          <w:sz w:val="20"/>
          <w:szCs w:val="20"/>
        </w:rPr>
        <w:t xml:space="preserve">proizvedene dugotrajne imovine obuhvaćaju: rashode za građevinske objekte (izgradnju i opremanje dječjeg vrtića u </w:t>
      </w:r>
      <w:proofErr w:type="spellStart"/>
      <w:r w:rsidRPr="00A93328">
        <w:rPr>
          <w:rFonts w:ascii="Verdana" w:eastAsia="Verdana" w:hAnsi="Verdana" w:cs="Calibri"/>
          <w:sz w:val="20"/>
          <w:szCs w:val="20"/>
        </w:rPr>
        <w:t>Tompojevcima</w:t>
      </w:r>
      <w:proofErr w:type="spellEnd"/>
      <w:r w:rsidRPr="00A93328">
        <w:rPr>
          <w:rFonts w:ascii="Verdana" w:eastAsia="Verdana" w:hAnsi="Verdana" w:cs="Calibri"/>
          <w:sz w:val="20"/>
          <w:szCs w:val="20"/>
        </w:rPr>
        <w:t>, izgradnju i</w:t>
      </w:r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 xml:space="preserve">  opremanje dječjeg igrališta u Bokšiću,  radovi na sportskoj svlačionici i izgradnja </w:t>
      </w:r>
      <w:proofErr w:type="spellStart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>parkrališta</w:t>
      </w:r>
      <w:proofErr w:type="spellEnd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 xml:space="preserve"> Tompojevci, izgradnja boćališta  i višenamjenskog sportskog igrališta u </w:t>
      </w:r>
      <w:proofErr w:type="spellStart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>Tompojevcima</w:t>
      </w:r>
      <w:proofErr w:type="spellEnd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 xml:space="preserve">, rekonstrukciju ceste Radićeva ulica Bokšić rekonstrukcija stanova u Čakovcima, sanacija korita </w:t>
      </w:r>
      <w:proofErr w:type="spellStart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>Berave</w:t>
      </w:r>
      <w:proofErr w:type="spellEnd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 xml:space="preserve">, izgradnja doma kulture u Čakovcima, </w:t>
      </w:r>
      <w:proofErr w:type="spellStart"/>
      <w:r w:rsidRPr="00A93328">
        <w:rPr>
          <w:rFonts w:ascii="Verdana" w:eastAsia="Verdana" w:hAnsi="Verdana" w:cs="Calibri"/>
          <w:sz w:val="20"/>
          <w:szCs w:val="20"/>
        </w:rPr>
        <w:t>izgradna</w:t>
      </w:r>
      <w:proofErr w:type="spellEnd"/>
      <w:r w:rsidRPr="00A93328">
        <w:rPr>
          <w:rFonts w:ascii="Verdana" w:eastAsia="Verdana" w:hAnsi="Verdana" w:cs="Calibri"/>
          <w:sz w:val="20"/>
          <w:szCs w:val="20"/>
        </w:rPr>
        <w:t xml:space="preserve"> društvenog  doma u  </w:t>
      </w:r>
      <w:proofErr w:type="spellStart"/>
      <w:r w:rsidRPr="00A93328">
        <w:rPr>
          <w:rFonts w:ascii="Verdana" w:eastAsia="Verdana" w:hAnsi="Verdana" w:cs="Calibri"/>
          <w:sz w:val="20"/>
          <w:szCs w:val="20"/>
        </w:rPr>
        <w:t>Mikluševcima</w:t>
      </w:r>
      <w:proofErr w:type="spellEnd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 xml:space="preserve"> postavljane video nadzora na PG groblju </w:t>
      </w:r>
      <w:proofErr w:type="spellStart"/>
      <w:r w:rsidRPr="00A93328">
        <w:rPr>
          <w:rFonts w:ascii="Verdana" w:eastAsia="Times New Roman" w:hAnsi="Verdana" w:cs="Calibri"/>
          <w:sz w:val="20"/>
          <w:szCs w:val="20"/>
          <w:lang w:eastAsia="hr-HR"/>
        </w:rPr>
        <w:t>Berak</w:t>
      </w:r>
      <w:proofErr w:type="spellEnd"/>
      <w:r w:rsidRPr="00A93328">
        <w:rPr>
          <w:rFonts w:ascii="Verdana" w:eastAsia="Verdana" w:hAnsi="Verdana" w:cs="Calibri"/>
          <w:sz w:val="20"/>
          <w:szCs w:val="20"/>
        </w:rPr>
        <w:t xml:space="preserve">, projektna dokumentacija za turistički </w:t>
      </w:r>
      <w:proofErr w:type="spellStart"/>
      <w:r w:rsidRPr="00A93328">
        <w:rPr>
          <w:rFonts w:ascii="Verdana" w:eastAsia="Verdana" w:hAnsi="Verdana" w:cs="Calibri"/>
          <w:sz w:val="20"/>
          <w:szCs w:val="20"/>
        </w:rPr>
        <w:t>posjetiteljski</w:t>
      </w:r>
      <w:proofErr w:type="spellEnd"/>
      <w:r w:rsidRPr="00A93328">
        <w:rPr>
          <w:rFonts w:ascii="Verdana" w:eastAsia="Verdana" w:hAnsi="Verdana" w:cs="Calibri"/>
          <w:sz w:val="20"/>
          <w:szCs w:val="20"/>
        </w:rPr>
        <w:t xml:space="preserve"> centar </w:t>
      </w:r>
      <w:proofErr w:type="spellStart"/>
      <w:r w:rsidRPr="00A93328">
        <w:rPr>
          <w:rFonts w:ascii="Verdana" w:eastAsia="Verdana" w:hAnsi="Verdana" w:cs="Calibri"/>
          <w:sz w:val="20"/>
          <w:szCs w:val="20"/>
        </w:rPr>
        <w:t>Kercel</w:t>
      </w:r>
      <w:proofErr w:type="spellEnd"/>
      <w:r w:rsidRPr="00A93328">
        <w:rPr>
          <w:rFonts w:ascii="Verdana" w:eastAsia="Verdana" w:hAnsi="Verdana" w:cs="Calibri"/>
          <w:sz w:val="20"/>
          <w:szCs w:val="20"/>
        </w:rPr>
        <w:t xml:space="preserve"> u Čakovcima).</w:t>
      </w:r>
    </w:p>
    <w:p w14:paraId="6F1FDDEC" w14:textId="77777777" w:rsidR="00306654" w:rsidRDefault="00306654" w:rsidP="00306654">
      <w:pPr>
        <w:spacing w:after="0" w:line="240" w:lineRule="auto"/>
        <w:jc w:val="both"/>
        <w:rPr>
          <w:rFonts w:ascii="Verdana" w:eastAsia="Verdana" w:hAnsi="Verdana" w:cs="Calibri"/>
          <w:color w:val="FF0000"/>
          <w:sz w:val="20"/>
          <w:szCs w:val="20"/>
        </w:rPr>
      </w:pPr>
    </w:p>
    <w:p w14:paraId="34919481" w14:textId="77777777" w:rsidR="00306654" w:rsidRPr="001E6635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  <w:r w:rsidRPr="001E6635">
        <w:rPr>
          <w:rFonts w:ascii="Verdana" w:eastAsia="Verdana" w:hAnsi="Verdana" w:cs="Courier New"/>
          <w:b/>
          <w:sz w:val="24"/>
          <w:szCs w:val="24"/>
        </w:rPr>
        <w:t xml:space="preserve">PRORAČUN PO PROGRAMIMA </w:t>
      </w:r>
    </w:p>
    <w:p w14:paraId="4FFAF6BF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9D8EE14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b/>
          <w:sz w:val="20"/>
          <w:szCs w:val="20"/>
        </w:rPr>
        <w:t>Program Općinsko vijeće</w:t>
      </w:r>
      <w:r w:rsidRPr="001E6635">
        <w:rPr>
          <w:rFonts w:ascii="Verdana" w:eastAsia="Verdana" w:hAnsi="Verdana" w:cs="Courier New"/>
          <w:sz w:val="20"/>
          <w:szCs w:val="20"/>
        </w:rPr>
        <w:t xml:space="preserve"> - obuhvaća sredstva za redovan rad Općinskog vijeća (naknade vijećnicima i političkim strankama, reprezentacija) i rashode za izbore predstavničkih tijela.</w:t>
      </w:r>
    </w:p>
    <w:p w14:paraId="4232564C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20258411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b/>
          <w:sz w:val="20"/>
          <w:szCs w:val="20"/>
        </w:rPr>
        <w:t>Program mjesna samouprava</w:t>
      </w:r>
      <w:r w:rsidRPr="001E6635">
        <w:rPr>
          <w:rFonts w:ascii="Verdana" w:eastAsia="Verdana" w:hAnsi="Verdana" w:cs="Courier New"/>
          <w:sz w:val="20"/>
          <w:szCs w:val="20"/>
        </w:rPr>
        <w:t xml:space="preserve"> - obuhvaća sredstva za rad mjesnih odbora (režijski troškovi po objektima mjesnih odbora i održavanje istih, naknade za rad vijeća mjesnih odbora).</w:t>
      </w:r>
    </w:p>
    <w:p w14:paraId="5A484D93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2D4F298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5E6B842A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b/>
          <w:sz w:val="20"/>
          <w:szCs w:val="20"/>
        </w:rPr>
        <w:lastRenderedPageBreak/>
        <w:t>Program ured načelnika</w:t>
      </w:r>
      <w:r w:rsidRPr="001E6635">
        <w:rPr>
          <w:rFonts w:ascii="Verdana" w:eastAsia="Verdana" w:hAnsi="Verdana" w:cs="Courier New"/>
          <w:sz w:val="20"/>
          <w:szCs w:val="20"/>
        </w:rPr>
        <w:t xml:space="preserve"> – obuhvaća rashode za redovnu djelatnost u Uredu općinskog načelnika (uključuje rashode za dužnosnike, službena putovanja, troškove reprezentacije, režijske rashode, tekuće pomoći i sl.).</w:t>
      </w:r>
    </w:p>
    <w:p w14:paraId="5DBA1C04" w14:textId="77777777" w:rsidR="00306654" w:rsidRPr="001E6635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7D1C0B6" w14:textId="77777777" w:rsidR="00306654" w:rsidRPr="001E6635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1E6635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programi i projekti</w:t>
      </w:r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projekt zaželi (uposleni djelatnici koji pružaju pomoć starijoj populaciji) demografsku obnovu (sufinanciranje  prve nekretnine – obiteljske kuće),</w:t>
      </w:r>
      <w:proofErr w:type="spellStart"/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>Interreg</w:t>
      </w:r>
      <w:proofErr w:type="spellEnd"/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 xml:space="preserve"> Hrvatska -Srbija (uređenje korita </w:t>
      </w:r>
      <w:proofErr w:type="spellStart"/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>Berave</w:t>
      </w:r>
      <w:proofErr w:type="spellEnd"/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 xml:space="preserve">), </w:t>
      </w:r>
      <w:proofErr w:type="spellStart"/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>Interreg</w:t>
      </w:r>
      <w:proofErr w:type="spellEnd"/>
      <w:r w:rsidRPr="001E6635">
        <w:rPr>
          <w:rFonts w:ascii="Verdana" w:eastAsia="Times New Roman" w:hAnsi="Verdana" w:cs="Courier New"/>
          <w:sz w:val="20"/>
          <w:szCs w:val="20"/>
          <w:lang w:eastAsia="hr-HR"/>
        </w:rPr>
        <w:t xml:space="preserve"> Hrvatska -Mađarska (rekonstrukcija doma kulture Čakovci)</w:t>
      </w:r>
    </w:p>
    <w:p w14:paraId="54DAD83D" w14:textId="77777777" w:rsidR="00306654" w:rsidRPr="001E6635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</w:p>
    <w:p w14:paraId="6AA678FE" w14:textId="77777777" w:rsidR="00306654" w:rsidRPr="001E6635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b/>
          <w:sz w:val="20"/>
          <w:szCs w:val="20"/>
        </w:rPr>
        <w:t>Program dani stradanja</w:t>
      </w:r>
      <w:r w:rsidRPr="001E6635">
        <w:rPr>
          <w:rFonts w:ascii="Verdana" w:eastAsia="Verdana" w:hAnsi="Verdana" w:cs="Courier New"/>
          <w:sz w:val="20"/>
          <w:szCs w:val="20"/>
        </w:rPr>
        <w:t xml:space="preserve"> - program obuhvaća rashode  protokola stradalih i nestalih u domovinskom ratu na području općine.</w:t>
      </w:r>
    </w:p>
    <w:p w14:paraId="0F7CAA81" w14:textId="77777777" w:rsidR="00306654" w:rsidRPr="001E6635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CA5BE80" w14:textId="77777777" w:rsidR="00306654" w:rsidRPr="001E6635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b/>
          <w:sz w:val="20"/>
          <w:szCs w:val="20"/>
        </w:rPr>
        <w:t>Program dani općine</w:t>
      </w:r>
      <w:r w:rsidRPr="001E6635">
        <w:rPr>
          <w:rFonts w:ascii="Verdana" w:eastAsia="Verdana" w:hAnsi="Verdana"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14:paraId="3D8A11B6" w14:textId="77777777" w:rsidR="00306654" w:rsidRPr="001E6635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74D64B74" w14:textId="77777777" w:rsidR="00306654" w:rsidRPr="00844EE7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1E6635">
        <w:rPr>
          <w:rFonts w:ascii="Verdana" w:eastAsia="Verdana" w:hAnsi="Verdana" w:cs="Courier New"/>
          <w:b/>
          <w:sz w:val="20"/>
          <w:szCs w:val="20"/>
        </w:rPr>
        <w:t>Program građevinski objekti</w:t>
      </w:r>
      <w:r w:rsidRPr="001E6635">
        <w:rPr>
          <w:rFonts w:ascii="Verdana" w:eastAsia="Verdana" w:hAnsi="Verdana" w:cs="Courier New"/>
          <w:sz w:val="20"/>
          <w:szCs w:val="20"/>
        </w:rPr>
        <w:t xml:space="preserve"> – odnose se na izradu projektne dokumentacije </w:t>
      </w:r>
      <w:proofErr w:type="spellStart"/>
      <w:r w:rsidRPr="001E6635">
        <w:rPr>
          <w:rFonts w:ascii="Verdana" w:eastAsia="Verdana" w:hAnsi="Verdana" w:cs="Courier New"/>
          <w:sz w:val="20"/>
          <w:szCs w:val="20"/>
        </w:rPr>
        <w:t>Kercel</w:t>
      </w:r>
      <w:proofErr w:type="spellEnd"/>
      <w:r w:rsidRPr="001E6635">
        <w:rPr>
          <w:rFonts w:ascii="Verdana" w:eastAsia="Verdana" w:hAnsi="Verdana" w:cs="Courier New"/>
          <w:sz w:val="20"/>
          <w:szCs w:val="20"/>
        </w:rPr>
        <w:t xml:space="preserve"> dovršetak izgradnje i opremanje dječjeg vrtića Tompojevci, opremanje zgrade društvene </w:t>
      </w:r>
      <w:r w:rsidRPr="00844EE7">
        <w:rPr>
          <w:rFonts w:ascii="Verdana" w:eastAsia="Verdana" w:hAnsi="Verdana" w:cs="Courier New"/>
          <w:sz w:val="20"/>
          <w:szCs w:val="20"/>
        </w:rPr>
        <w:t>i javne namjene u Čakovcima, kupovina zgrade u Čakovcima (bivša banka) i zemljišta u Čakovcima,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projektne dokumentacije za rekonstrukciju vodovodnu mreže u </w:t>
      </w:r>
      <w:proofErr w:type="spellStart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Berku</w:t>
      </w:r>
      <w:proofErr w:type="spellEnd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i </w:t>
      </w:r>
      <w:proofErr w:type="spellStart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Pr="00844EE7">
        <w:rPr>
          <w:rFonts w:ascii="Verdana" w:eastAsia="Verdana" w:hAnsi="Verdana" w:cs="Courier New"/>
          <w:sz w:val="20"/>
          <w:szCs w:val="20"/>
        </w:rPr>
        <w:t xml:space="preserve">.  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izgradnju ceste Mikluševci-Čakovci parkirališta uz GKG Mikluševci, </w:t>
      </w:r>
    </w:p>
    <w:p w14:paraId="5C19A743" w14:textId="77777777" w:rsidR="00306654" w:rsidRPr="00844EE7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Verdana" w:hAnsi="Verdana" w:cs="Courier New"/>
          <w:b/>
          <w:sz w:val="20"/>
          <w:szCs w:val="20"/>
        </w:rPr>
        <w:t xml:space="preserve">Program prostorno uređenje i unapređenje stanovanja – </w:t>
      </w:r>
      <w:r w:rsidRPr="00844EE7">
        <w:rPr>
          <w:rFonts w:ascii="Verdana" w:eastAsia="Verdana" w:hAnsi="Verdana" w:cs="Courier New"/>
          <w:sz w:val="20"/>
          <w:szCs w:val="20"/>
        </w:rPr>
        <w:t xml:space="preserve">obuhvaća rashode za izmjene i dopune Prostornog plana </w:t>
      </w:r>
      <w:proofErr w:type="spellStart"/>
      <w:r w:rsidRPr="00844EE7">
        <w:rPr>
          <w:rFonts w:ascii="Verdana" w:eastAsia="Verdana" w:hAnsi="Verdana" w:cs="Courier New"/>
          <w:sz w:val="20"/>
          <w:szCs w:val="20"/>
        </w:rPr>
        <w:t>općineTompojevci</w:t>
      </w:r>
      <w:proofErr w:type="spellEnd"/>
    </w:p>
    <w:p w14:paraId="5F329492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327AA013" w14:textId="77777777" w:rsidR="00306654" w:rsidRPr="00844EE7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Verdana" w:hAnsi="Verdana" w:cs="Courier New"/>
          <w:b/>
          <w:sz w:val="20"/>
          <w:szCs w:val="20"/>
        </w:rPr>
        <w:t xml:space="preserve">Program obrazovanje – </w:t>
      </w:r>
      <w:r w:rsidRPr="00844EE7">
        <w:rPr>
          <w:rFonts w:ascii="Verdana" w:eastAsia="Verdana" w:hAnsi="Verdana" w:cs="Courier New"/>
          <w:sz w:val="20"/>
          <w:szCs w:val="20"/>
        </w:rPr>
        <w:t>obuhvaća rashode za  stipendiranje svih studenata preddiplomskih i diplomskih, stručnih i sveučilišnih studija.</w:t>
      </w:r>
    </w:p>
    <w:p w14:paraId="255BB61F" w14:textId="77777777" w:rsidR="00306654" w:rsidRPr="00844EE7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A668619" w14:textId="77777777" w:rsidR="00306654" w:rsidRPr="00844EE7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Verdana" w:hAnsi="Verdana" w:cs="Courier New"/>
          <w:b/>
          <w:sz w:val="20"/>
          <w:szCs w:val="20"/>
        </w:rPr>
        <w:t>Program obilježavanje Državnih blagdana</w:t>
      </w:r>
      <w:r w:rsidRPr="00844EE7">
        <w:rPr>
          <w:rFonts w:ascii="Verdana" w:eastAsia="Verdana" w:hAnsi="Verdana" w:cs="Courier New"/>
          <w:sz w:val="20"/>
          <w:szCs w:val="20"/>
        </w:rPr>
        <w:t xml:space="preserve"> odnosi se na rashode za reprezentaciju i rashode protokola.</w:t>
      </w:r>
    </w:p>
    <w:p w14:paraId="5A3347D2" w14:textId="77777777" w:rsidR="00306654" w:rsidRPr="00844EE7" w:rsidRDefault="00306654" w:rsidP="00306654">
      <w:pPr>
        <w:spacing w:after="0"/>
        <w:jc w:val="both"/>
        <w:rPr>
          <w:rFonts w:ascii="Verdana" w:eastAsia="Verdana" w:hAnsi="Verdana" w:cs="Courier New"/>
          <w:b/>
          <w:bCs/>
          <w:sz w:val="20"/>
          <w:szCs w:val="20"/>
        </w:rPr>
      </w:pPr>
    </w:p>
    <w:p w14:paraId="7C571BDA" w14:textId="77777777" w:rsidR="00306654" w:rsidRPr="00844EE7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Verdana" w:hAnsi="Verdana" w:cs="Courier New"/>
          <w:b/>
          <w:bCs/>
          <w:sz w:val="20"/>
          <w:szCs w:val="20"/>
        </w:rPr>
        <w:t>Program strateško planiranje</w:t>
      </w:r>
      <w:r w:rsidRPr="00844EE7">
        <w:rPr>
          <w:rFonts w:ascii="Verdana" w:eastAsia="Verdana" w:hAnsi="Verdana" w:cs="Courier New"/>
          <w:sz w:val="20"/>
          <w:szCs w:val="20"/>
        </w:rPr>
        <w:t xml:space="preserve"> – rashodi se odnose na kupovinu i sadnju sadnica po ulicama u svim naseljima općine, te izradu Plana rasvjete i akcijskog plana gradnje vanjske rasvjete i izradu Strategije zelene urbane obnove.</w:t>
      </w:r>
    </w:p>
    <w:p w14:paraId="34D46EDC" w14:textId="77777777" w:rsidR="00306654" w:rsidRPr="00844EE7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54ADC0B7" w14:textId="77777777" w:rsidR="00306654" w:rsidRPr="00844EE7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Verdana" w:hAnsi="Verdana" w:cs="Courier New"/>
          <w:b/>
          <w:bCs/>
          <w:sz w:val="20"/>
          <w:szCs w:val="20"/>
        </w:rPr>
        <w:t>Program Društveni centri -</w:t>
      </w:r>
      <w:r w:rsidRPr="00844EE7">
        <w:rPr>
          <w:rFonts w:ascii="Verdana" w:eastAsia="Verdana" w:hAnsi="Verdana" w:cs="Courier New"/>
          <w:sz w:val="20"/>
          <w:szCs w:val="20"/>
        </w:rPr>
        <w:t>obuhvaća rashode za izgradnju kulturnog centra Mikluševci, rekonstrukciju</w:t>
      </w:r>
      <w:r w:rsidRPr="00844EE7">
        <w:rPr>
          <w:rFonts w:ascii="Verdana" w:eastAsia="Verdana" w:hAnsi="Verdana" w:cs="Courier New"/>
          <w:b/>
          <w:bCs/>
          <w:sz w:val="20"/>
          <w:szCs w:val="20"/>
        </w:rPr>
        <w:t xml:space="preserve">  </w:t>
      </w:r>
      <w:r w:rsidRPr="00844EE7">
        <w:rPr>
          <w:rFonts w:ascii="Verdana" w:eastAsia="Verdana" w:hAnsi="Verdana" w:cs="Courier New"/>
          <w:sz w:val="20"/>
          <w:szCs w:val="20"/>
        </w:rPr>
        <w:t xml:space="preserve">sportske svlačionice </w:t>
      </w:r>
      <w:proofErr w:type="spellStart"/>
      <w:r w:rsidRPr="00844EE7">
        <w:rPr>
          <w:rFonts w:ascii="Verdana" w:eastAsia="Verdana" w:hAnsi="Verdana" w:cs="Courier New"/>
          <w:sz w:val="20"/>
          <w:szCs w:val="20"/>
        </w:rPr>
        <w:t>Berak</w:t>
      </w:r>
      <w:proofErr w:type="spellEnd"/>
      <w:r w:rsidRPr="00844EE7">
        <w:rPr>
          <w:rFonts w:ascii="Verdana" w:eastAsia="Verdana" w:hAnsi="Verdana" w:cs="Courier New"/>
          <w:sz w:val="20"/>
          <w:szCs w:val="20"/>
        </w:rPr>
        <w:t xml:space="preserve">, Mikluševci, Tompojevci i konzultantske usluge </w:t>
      </w:r>
    </w:p>
    <w:p w14:paraId="28C721AC" w14:textId="77777777" w:rsidR="00306654" w:rsidRPr="00844EE7" w:rsidRDefault="00306654" w:rsidP="00306654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7A637A41" w14:textId="77777777" w:rsidR="00306654" w:rsidRPr="00844EE7" w:rsidRDefault="00306654" w:rsidP="00306654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Verdana" w:hAnsi="Verdana" w:cs="Courier New"/>
          <w:b/>
          <w:sz w:val="20"/>
          <w:szCs w:val="20"/>
        </w:rPr>
        <w:t>Program javna uprava i administracija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rashodi se odnose na rashode  </w:t>
      </w:r>
      <w:r w:rsidRPr="00844EE7">
        <w:rPr>
          <w:rFonts w:ascii="Verdana" w:eastAsia="Verdana" w:hAnsi="Verdana" w:cs="Courier New"/>
          <w:sz w:val="20"/>
          <w:szCs w:val="20"/>
        </w:rPr>
        <w:t xml:space="preserve"> za zaposlene, rashode za službena putovanja, premije osiguranja,  reprezentaciju, režijske  rashode i sl.</w:t>
      </w:r>
    </w:p>
    <w:p w14:paraId="55560759" w14:textId="77777777" w:rsidR="00306654" w:rsidRPr="00844EE7" w:rsidRDefault="00306654" w:rsidP="00306654">
      <w:pPr>
        <w:spacing w:after="0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6064C55C" w14:textId="77777777" w:rsidR="00306654" w:rsidRPr="00844EE7" w:rsidRDefault="00306654" w:rsidP="00306654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socijalna skrb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844EE7">
        <w:rPr>
          <w:rFonts w:ascii="Verdana" w:eastAsia="Verdana" w:hAnsi="Verdana" w:cs="Courier New"/>
          <w:sz w:val="20"/>
          <w:szCs w:val="20"/>
        </w:rPr>
        <w:t>pomoć za podmirenje troškova stanovanja, ostale pomoći obiteljima i kućanstvima (sufinanciranje borbe protiv ovisnosti alkohola, duhana i droge, pomoći za novorođenu djecu, jednokratne pomoći, potpore roditeljima za djecu od prve godine života do šeste godine (polaska u prvi razred OŠ), sufinanciranje karata za prijevoz srednjoškolaca, naknadu za kupovinu obrazovnog materijala za učenike OŠ, božićne pakete za  djecu do 14. godina), isplatu božićnice umirovljenicima sa manjim mirovinama</w:t>
      </w:r>
    </w:p>
    <w:p w14:paraId="14F44712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A573F8C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održavanje komunalne infrastrukture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 o</w:t>
      </w:r>
      <w:r w:rsidRPr="00844EE7">
        <w:rPr>
          <w:rFonts w:ascii="Verdana" w:eastAsia="Verdana" w:hAnsi="Verdana" w:cs="Courier New"/>
          <w:sz w:val="20"/>
          <w:szCs w:val="20"/>
        </w:rPr>
        <w:t xml:space="preserve">vaj program uključuje sljedeće aktivnosti: održavanje nerazvrstanih cesta, rashodi se odnose  na komunalne usluge (čišćenje nerazvrstanih cesta u zimskom periodu, redovno održavanje nerazvrstanih cesta uređenje poljskih puteva), održavanje građevine i uređaja javne namjene,  održavanje javne rasvjete, održavanje javne površine na kojima nije dopušten promet </w:t>
      </w:r>
      <w:r w:rsidRPr="00844EE7">
        <w:rPr>
          <w:rFonts w:ascii="Verdana" w:eastAsia="Verdana" w:hAnsi="Verdana" w:cs="Courier New"/>
          <w:sz w:val="20"/>
          <w:szCs w:val="20"/>
        </w:rPr>
        <w:lastRenderedPageBreak/>
        <w:t>motornim vozilima(sanacija pješačkih staza) održavanje javnih zelenih  površina i  groblja, deratizacija i dezinsekcija, veterinarsko-higijeničarski poslovi i održavanje čistoće javnih površina (postavljanje koševa i uklanjanje otpada).</w:t>
      </w:r>
    </w:p>
    <w:p w14:paraId="002DDF0A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AD23BCD" w14:textId="77777777" w:rsidR="00306654" w:rsidRPr="00844EE7" w:rsidRDefault="00306654" w:rsidP="00306654">
      <w:pPr>
        <w:jc w:val="both"/>
        <w:rPr>
          <w:rFonts w:eastAsia="Verdana" w:cs="Calibri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građenja  komunalne infrastrukture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 se odnosi na rekonstrukciju cesta,</w:t>
      </w:r>
      <w:r w:rsidRPr="00844EE7">
        <w:rPr>
          <w:rFonts w:eastAsia="Verdana" w:cs="Calibri"/>
        </w:rPr>
        <w:t xml:space="preserve"> izgradnju i opremanje  dječjeg  igrališta u naselju Bokšić,  priključak vode i postavljanje video nadzora na PG </w:t>
      </w:r>
      <w:proofErr w:type="spellStart"/>
      <w:r w:rsidRPr="00844EE7">
        <w:rPr>
          <w:rFonts w:eastAsia="Verdana" w:cs="Calibri"/>
        </w:rPr>
        <w:t>Berak</w:t>
      </w:r>
      <w:proofErr w:type="spellEnd"/>
      <w:r w:rsidRPr="00844EE7">
        <w:rPr>
          <w:rFonts w:eastAsia="Verdana" w:cs="Calibri"/>
        </w:rPr>
        <w:t xml:space="preserve">, postavljanje sustava javnih električnih </w:t>
      </w:r>
      <w:proofErr w:type="spellStart"/>
      <w:r w:rsidRPr="00844EE7">
        <w:rPr>
          <w:rFonts w:eastAsia="Verdana" w:cs="Calibri"/>
        </w:rPr>
        <w:t>biciklova</w:t>
      </w:r>
      <w:proofErr w:type="spellEnd"/>
      <w:r w:rsidRPr="00844EE7">
        <w:rPr>
          <w:rFonts w:eastAsia="Verdana" w:cs="Calibri"/>
        </w:rPr>
        <w:t xml:space="preserve"> i sustav mjerenja čistoće zraka, izrada troškovnika i izgradnja </w:t>
      </w:r>
      <w:proofErr w:type="spellStart"/>
      <w:r w:rsidRPr="00844EE7">
        <w:rPr>
          <w:rFonts w:eastAsia="Verdana" w:cs="Calibri"/>
        </w:rPr>
        <w:t>bočališta</w:t>
      </w:r>
      <w:proofErr w:type="spellEnd"/>
      <w:r w:rsidRPr="00844EE7">
        <w:rPr>
          <w:rFonts w:eastAsia="Verdana" w:cs="Calibri"/>
        </w:rPr>
        <w:t xml:space="preserve"> u </w:t>
      </w:r>
      <w:proofErr w:type="spellStart"/>
      <w:r w:rsidRPr="00844EE7">
        <w:rPr>
          <w:rFonts w:eastAsia="Verdana" w:cs="Calibri"/>
        </w:rPr>
        <w:t>Tompojevcima,te</w:t>
      </w:r>
      <w:proofErr w:type="spellEnd"/>
      <w:r w:rsidRPr="00844EE7">
        <w:rPr>
          <w:rFonts w:eastAsia="Verdana" w:cs="Calibri"/>
        </w:rPr>
        <w:t xml:space="preserve"> izgradnja parkirališta u </w:t>
      </w:r>
      <w:proofErr w:type="spellStart"/>
      <w:r w:rsidRPr="00844EE7">
        <w:rPr>
          <w:rFonts w:eastAsia="Verdana" w:cs="Calibri"/>
        </w:rPr>
        <w:t>Mikluševcima</w:t>
      </w:r>
      <w:proofErr w:type="spellEnd"/>
      <w:r w:rsidRPr="00844EE7">
        <w:rPr>
          <w:rFonts w:eastAsia="Verdana" w:cs="Calibri"/>
        </w:rPr>
        <w:t xml:space="preserve">, Čakovcima </w:t>
      </w:r>
      <w:proofErr w:type="spellStart"/>
      <w:r w:rsidRPr="00844EE7">
        <w:rPr>
          <w:rFonts w:eastAsia="Verdana" w:cs="Calibri"/>
        </w:rPr>
        <w:t>Tompojevcima</w:t>
      </w:r>
      <w:proofErr w:type="spellEnd"/>
      <w:r w:rsidRPr="00844EE7">
        <w:rPr>
          <w:rFonts w:eastAsia="Verdana" w:cs="Calibri"/>
        </w:rPr>
        <w:t xml:space="preserve"> i </w:t>
      </w:r>
      <w:proofErr w:type="spellStart"/>
      <w:r w:rsidRPr="00844EE7">
        <w:rPr>
          <w:rFonts w:eastAsia="Verdana" w:cs="Calibri"/>
        </w:rPr>
        <w:t>Berku</w:t>
      </w:r>
      <w:proofErr w:type="spellEnd"/>
      <w:r w:rsidRPr="00844EE7">
        <w:rPr>
          <w:rFonts w:eastAsia="Verdana" w:cs="Calibri"/>
        </w:rPr>
        <w:t>.</w:t>
      </w:r>
    </w:p>
    <w:p w14:paraId="6E4D1804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promicanje kulture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–</w:t>
      </w:r>
      <w:r w:rsidRPr="00844EE7">
        <w:rPr>
          <w:rFonts w:ascii="Verdana" w:eastAsia="Verdana" w:hAnsi="Verdana" w:cs="Courier New"/>
          <w:sz w:val="20"/>
          <w:szCs w:val="20"/>
        </w:rPr>
        <w:t xml:space="preserve"> obuhvaća kulturne manifestacije i kulturno umjetnički amaterizam, p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oticanje kulturne djelatnosti, njegovanje tradicije i običaja.</w:t>
      </w:r>
    </w:p>
    <w:p w14:paraId="1E9F32F0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5C71E0CD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sport i rekreacija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14:paraId="17C9FA7B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3A9B0AA3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javne potrebe ostalih udruga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14:paraId="68F3F3C4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1DB9D43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razvoj civilnog društva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844EE7">
        <w:rPr>
          <w:rFonts w:ascii="Verdana" w:eastAsia="Verdana" w:hAnsi="Verdana" w:cs="Courier New"/>
          <w:sz w:val="20"/>
          <w:szCs w:val="20"/>
        </w:rPr>
        <w:t xml:space="preserve"> odnosi se na redovno financiranje udruga (jačanje razvoja ruralnih prostora općine Tompojevci putem suradnje s drugim JLS i organizacijama, vjerske zajednice i udruga potrošača).</w:t>
      </w:r>
    </w:p>
    <w:p w14:paraId="112D053C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072E85DF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predškolski odgoj, osnovno, srednje i visoko obrazovanje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844EE7">
        <w:rPr>
          <w:rFonts w:ascii="Verdana" w:eastAsia="Verdana" w:hAnsi="Verdana" w:cs="Courier New"/>
          <w:sz w:val="20"/>
          <w:szCs w:val="20"/>
        </w:rPr>
        <w:t xml:space="preserve">–  odnosi se na  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sufinanciranje redovitog programa predškolskog odgoja, na kupovinu materijal za čišćenje i održavanje osnovne škole, motorni benzin za održavanje travnjaka u osnovnim i područnim školama, sufinanciranje jaslica i potporu roditeljima za prijevoz djece u </w:t>
      </w:r>
      <w:proofErr w:type="spellStart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predškolu</w:t>
      </w:r>
      <w:proofErr w:type="spellEnd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.</w:t>
      </w:r>
      <w:r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kao i provođenje projekta </w:t>
      </w:r>
      <w:proofErr w:type="spellStart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edzkativnih</w:t>
      </w:r>
      <w:proofErr w:type="spellEnd"/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, kulturnih i sportskih aktivnosti djece predškolske dobi djece od I. do IV. Razreda osnovne škole.</w:t>
      </w:r>
    </w:p>
    <w:p w14:paraId="1ED282E5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0CF45E97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15DD80B4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Verdana" w:hAnsi="Verdana" w:cs="Courier New"/>
          <w:b/>
          <w:sz w:val="20"/>
          <w:szCs w:val="20"/>
        </w:rPr>
        <w:t>Program nacionalne manjine</w:t>
      </w:r>
      <w:r w:rsidRPr="00844EE7">
        <w:rPr>
          <w:rFonts w:ascii="Verdana" w:eastAsia="Verdana" w:hAnsi="Verdana" w:cs="Courier New"/>
          <w:sz w:val="20"/>
          <w:szCs w:val="20"/>
        </w:rPr>
        <w:t xml:space="preserve"> – obuhvaća redovan rad tijela nacionalnih manjina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>, očuvanje običaja i njegovanje jezika nacionalnih manjina i opremanje prostora za nacionalne manjine.</w:t>
      </w:r>
    </w:p>
    <w:p w14:paraId="6D9F358E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0FD68352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gospodarstvo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844EE7">
        <w:rPr>
          <w:rFonts w:ascii="Verdana" w:eastAsia="Verdana" w:hAnsi="Verdana" w:cs="Courier New"/>
          <w:sz w:val="20"/>
          <w:szCs w:val="20"/>
        </w:rPr>
        <w:t>– rashodi se odnose na odvoz uginule stoke,</w:t>
      </w:r>
      <w:r w:rsidRPr="00844EE7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Pr="00844EE7">
        <w:rPr>
          <w:rFonts w:ascii="Verdana" w:eastAsia="Verdana" w:hAnsi="Verdana" w:cs="Courier New"/>
          <w:sz w:val="20"/>
          <w:szCs w:val="20"/>
        </w:rPr>
        <w:t>na potpore  poljoprivrednicima i obrtnicima (sufinanciranje kamata)</w:t>
      </w:r>
    </w:p>
    <w:p w14:paraId="3378A8A5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36EAA333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zaštite i spašavanja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naknade za rad civilne zaštite, izdvajanje 4,9% od vlastitih sredstava za rad DVD-a, sufinanciranje </w:t>
      </w:r>
      <w:r w:rsidRPr="00844EE7">
        <w:rPr>
          <w:rFonts w:ascii="Verdana" w:eastAsia="Verdana" w:hAnsi="Verdana" w:cs="Courier New"/>
          <w:sz w:val="20"/>
          <w:szCs w:val="20"/>
        </w:rPr>
        <w:t>Hrvatske gorske službe spašavanja i obveza izdvajanja  iz proračuna 0,7% od vlastitih sredstava za rad Crvenog križa.</w:t>
      </w:r>
    </w:p>
    <w:p w14:paraId="6283AC86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707E7814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844EE7">
        <w:rPr>
          <w:rFonts w:ascii="Verdana" w:eastAsia="Times New Roman" w:hAnsi="Verdana" w:cs="Courier New"/>
          <w:b/>
          <w:sz w:val="20"/>
          <w:szCs w:val="20"/>
          <w:lang w:eastAsia="hr-HR"/>
        </w:rPr>
        <w:t>Program zaštite okoliša</w:t>
      </w:r>
      <w:r w:rsidRPr="00844EE7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844EE7">
        <w:rPr>
          <w:rFonts w:ascii="Verdana" w:eastAsia="Verdana" w:hAnsi="Verdana" w:cs="Courier New"/>
          <w:sz w:val="20"/>
          <w:szCs w:val="20"/>
        </w:rPr>
        <w:t xml:space="preserve">rashodi se odnose na odvoz animalnog otpada i saniranje novonastalih divlje deponija, održavanje </w:t>
      </w:r>
      <w:proofErr w:type="spellStart"/>
      <w:r w:rsidRPr="00844EE7">
        <w:rPr>
          <w:rFonts w:ascii="Verdana" w:eastAsia="Verdana" w:hAnsi="Verdana" w:cs="Courier New"/>
          <w:sz w:val="20"/>
          <w:szCs w:val="20"/>
        </w:rPr>
        <w:t>reciklažnog</w:t>
      </w:r>
      <w:proofErr w:type="spellEnd"/>
      <w:r w:rsidRPr="00844EE7">
        <w:rPr>
          <w:rFonts w:ascii="Verdana" w:eastAsia="Verdana" w:hAnsi="Verdana" w:cs="Courier New"/>
          <w:sz w:val="20"/>
          <w:szCs w:val="20"/>
        </w:rPr>
        <w:t xml:space="preserve"> dvorišta (režijske troškove, investicijsko održavanje, zbrinjavanje opasnog otpada i </w:t>
      </w:r>
      <w:proofErr w:type="spellStart"/>
      <w:r w:rsidRPr="00844EE7">
        <w:rPr>
          <w:rFonts w:ascii="Verdana" w:eastAsia="Verdana" w:hAnsi="Verdana" w:cs="Courier New"/>
          <w:sz w:val="20"/>
          <w:szCs w:val="20"/>
        </w:rPr>
        <w:t>sl</w:t>
      </w:r>
      <w:proofErr w:type="spellEnd"/>
      <w:r w:rsidRPr="00844EE7">
        <w:rPr>
          <w:rFonts w:ascii="Verdana" w:eastAsia="Verdana" w:hAnsi="Verdana" w:cs="Courier New"/>
          <w:sz w:val="20"/>
          <w:szCs w:val="20"/>
        </w:rPr>
        <w:t xml:space="preserve">) </w:t>
      </w:r>
    </w:p>
    <w:p w14:paraId="3ED18A95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7BE3E97" w14:textId="77777777" w:rsidR="00306654" w:rsidRPr="00844EE7" w:rsidRDefault="00306654" w:rsidP="00306654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844EE7">
        <w:rPr>
          <w:rFonts w:ascii="Verdana" w:eastAsia="Verdana" w:hAnsi="Verdana" w:cs="Courier New"/>
          <w:b/>
          <w:sz w:val="20"/>
          <w:szCs w:val="20"/>
        </w:rPr>
        <w:t>Program javni radovi</w:t>
      </w:r>
      <w:r w:rsidRPr="00844EE7">
        <w:rPr>
          <w:rFonts w:ascii="Verdana" w:eastAsia="Verdana" w:hAnsi="Verdana" w:cs="Courier New"/>
          <w:sz w:val="20"/>
          <w:szCs w:val="20"/>
        </w:rPr>
        <w:t xml:space="preserve"> – odnose se na javne radove ( </w:t>
      </w:r>
      <w:proofErr w:type="spellStart"/>
      <w:r w:rsidRPr="00844EE7">
        <w:rPr>
          <w:rFonts w:ascii="Verdana" w:eastAsia="Verdana" w:hAnsi="Verdana" w:cs="Courier New"/>
          <w:sz w:val="20"/>
          <w:szCs w:val="20"/>
        </w:rPr>
        <w:t>paća</w:t>
      </w:r>
      <w:proofErr w:type="spellEnd"/>
      <w:r w:rsidRPr="00844EE7">
        <w:rPr>
          <w:rFonts w:ascii="Verdana" w:eastAsia="Verdana" w:hAnsi="Verdana" w:cs="Courier New"/>
          <w:sz w:val="20"/>
          <w:szCs w:val="20"/>
        </w:rPr>
        <w:t xml:space="preserve">  djelatnika  javnih radova, materijal i strojevi za održavanje zelenih površina i sl.).</w:t>
      </w:r>
    </w:p>
    <w:p w14:paraId="2873CCC5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D8377F5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79DDC67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E1D328F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1297B4F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F6C33A2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65058E97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13C19CD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19B68EAA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B8BC449" w14:textId="77777777" w:rsidR="00306654" w:rsidRPr="0055218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552184">
        <w:rPr>
          <w:rFonts w:ascii="Verdana" w:eastAsia="Verdana" w:hAnsi="Verdana" w:cs="Courier New"/>
          <w:sz w:val="20"/>
          <w:szCs w:val="20"/>
        </w:rPr>
        <w:t>PROJEKCIJA PRORAČUNA  ZA 2026. I 2027. GODINU</w:t>
      </w:r>
    </w:p>
    <w:p w14:paraId="0BF5E4A9" w14:textId="77777777" w:rsidR="00306654" w:rsidRPr="00552184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268"/>
        <w:gridCol w:w="1985"/>
      </w:tblGrid>
      <w:tr w:rsidR="00306654" w:rsidRPr="00552184" w14:paraId="15852BFC" w14:textId="77777777" w:rsidTr="00581356">
        <w:trPr>
          <w:trHeight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1ED73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bookmarkStart w:id="0" w:name="_Hlk56767684"/>
            <w:r w:rsidRPr="00552184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F4E9D" w14:textId="77777777" w:rsidR="00306654" w:rsidRPr="007676C1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7676C1">
              <w:rPr>
                <w:rFonts w:ascii="Verdana" w:eastAsia="Verdana" w:hAnsi="Verdana" w:cs="Courier New"/>
                <w:sz w:val="20"/>
                <w:szCs w:val="20"/>
              </w:rPr>
              <w:t>Projekcija proračuna 2026.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79DFF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52184">
              <w:rPr>
                <w:rFonts w:ascii="Verdana" w:eastAsia="Verdana" w:hAnsi="Verdana" w:cs="Courier New"/>
                <w:sz w:val="20"/>
                <w:szCs w:val="20"/>
              </w:rPr>
              <w:t>Projekcija proračuna 2027.</w:t>
            </w:r>
          </w:p>
        </w:tc>
      </w:tr>
      <w:tr w:rsidR="00306654" w:rsidRPr="00552184" w14:paraId="00ADFD72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2F0D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CAA8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>5.051.773,00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6D11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>4.216.498,00</w:t>
            </w:r>
          </w:p>
        </w:tc>
      </w:tr>
      <w:tr w:rsidR="00306654" w:rsidRPr="00552184" w14:paraId="6903AE5C" w14:textId="77777777" w:rsidTr="00581356">
        <w:trPr>
          <w:trHeight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B0D8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0B50" w14:textId="77777777" w:rsidR="00306654" w:rsidRPr="00552184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445.905,00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CDEB" w14:textId="77777777" w:rsidR="00306654" w:rsidRPr="00552184" w:rsidRDefault="00306654" w:rsidP="00581356">
            <w:pPr>
              <w:jc w:val="right"/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418.543,00</w:t>
            </w:r>
          </w:p>
        </w:tc>
      </w:tr>
      <w:tr w:rsidR="00306654" w:rsidRPr="00552184" w14:paraId="7713A238" w14:textId="77777777" w:rsidTr="00581356">
        <w:trPr>
          <w:trHeight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FCDA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1394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3.969.833,00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138B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3.142.471,00</w:t>
            </w:r>
          </w:p>
        </w:tc>
      </w:tr>
      <w:tr w:rsidR="00306654" w:rsidRPr="00552184" w14:paraId="6EC45B4E" w14:textId="77777777" w:rsidTr="00581356">
        <w:trPr>
          <w:trHeight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3FAB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70BD" w14:textId="77777777" w:rsidR="00306654" w:rsidRPr="00552184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563.300,00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F8E6" w14:textId="77777777" w:rsidR="00306654" w:rsidRPr="00552184" w:rsidRDefault="00306654" w:rsidP="00581356">
            <w:pPr>
              <w:jc w:val="right"/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575.590,00</w:t>
            </w:r>
          </w:p>
        </w:tc>
      </w:tr>
      <w:tr w:rsidR="00306654" w:rsidRPr="00552184" w14:paraId="6AA78782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B1AC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1AE1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69.575,00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0C45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76.424,00</w:t>
            </w:r>
          </w:p>
        </w:tc>
      </w:tr>
      <w:tr w:rsidR="00306654" w:rsidRPr="00552184" w14:paraId="10931D8A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7B44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 xml:space="preserve">66 Ostali prihodi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AEE6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 xml:space="preserve">2.500,00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AD88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2.750,00</w:t>
            </w:r>
          </w:p>
        </w:tc>
      </w:tr>
      <w:tr w:rsidR="00306654" w:rsidRPr="00552184" w14:paraId="1AD860C3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F685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>68 Ostali prihodi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3FC8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660,00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B20C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720,00</w:t>
            </w:r>
          </w:p>
        </w:tc>
      </w:tr>
      <w:tr w:rsidR="00306654" w:rsidRPr="00552184" w14:paraId="33F1F9A0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C99D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95C1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E18F" w14:textId="77777777" w:rsidR="00306654" w:rsidRPr="00552184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</w:tr>
      <w:tr w:rsidR="00306654" w:rsidRPr="00552184" w14:paraId="7B7A23A1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3E53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</w:t>
            </w:r>
            <w:proofErr w:type="spellStart"/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>neproizvedene</w:t>
            </w:r>
            <w:proofErr w:type="spellEnd"/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 xml:space="preserve"> imovine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CFC5" w14:textId="77777777" w:rsidR="00306654" w:rsidRPr="00552184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7555" w14:textId="77777777" w:rsidR="00306654" w:rsidRPr="00552184" w:rsidRDefault="00306654" w:rsidP="00581356">
            <w:pPr>
              <w:jc w:val="right"/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</w:tr>
      <w:tr w:rsidR="00306654" w:rsidRPr="00552184" w14:paraId="345181E2" w14:textId="77777777" w:rsidTr="00581356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CB1B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sz w:val="18"/>
                <w:szCs w:val="18"/>
              </w:rPr>
              <w:t>72</w:t>
            </w: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Prihodi od prodaje proizvedene dugotrajne imovine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88C6" w14:textId="77777777" w:rsidR="00306654" w:rsidRPr="00552184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F616" w14:textId="77777777" w:rsidR="00306654" w:rsidRPr="00552184" w:rsidRDefault="00306654" w:rsidP="00581356">
            <w:pPr>
              <w:jc w:val="right"/>
            </w:pPr>
            <w:r w:rsidRPr="00552184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</w:tr>
      <w:tr w:rsidR="00306654" w:rsidRPr="00552184" w14:paraId="53B5C2FF" w14:textId="77777777" w:rsidTr="00581356">
        <w:trPr>
          <w:trHeight w:val="39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976A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8EF4" w14:textId="77777777" w:rsidR="00306654" w:rsidRPr="00552184" w:rsidRDefault="00306654" w:rsidP="00581356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>5.051.773,00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2117D" w14:textId="77777777" w:rsidR="00306654" w:rsidRPr="00552184" w:rsidRDefault="00306654" w:rsidP="00581356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52184">
              <w:rPr>
                <w:rFonts w:ascii="Tahoma" w:hAnsi="Tahoma" w:cs="Tahoma"/>
                <w:b/>
                <w:bCs/>
                <w:sz w:val="18"/>
                <w:szCs w:val="18"/>
              </w:rPr>
              <w:t>4.216.498,00</w:t>
            </w:r>
          </w:p>
        </w:tc>
      </w:tr>
      <w:tr w:rsidR="00306654" w:rsidRPr="00552184" w14:paraId="432AEE82" w14:textId="77777777" w:rsidTr="00581356">
        <w:trPr>
          <w:trHeight w:val="7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6A1A0" w14:textId="77777777" w:rsidR="00306654" w:rsidRPr="00552184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52184">
              <w:rPr>
                <w:rFonts w:ascii="Verdana" w:eastAsia="Verdana" w:hAnsi="Verdana" w:cs="Courier New"/>
                <w:b/>
                <w:sz w:val="18"/>
                <w:szCs w:val="18"/>
              </w:rPr>
              <w:t>Raspoloživa sredstva iz prethodnih godina za pokriće manjka prihoda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37408" w14:textId="77777777" w:rsidR="00306654" w:rsidRPr="00552184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728F4" w14:textId="77777777" w:rsidR="00306654" w:rsidRPr="00552184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</w:tr>
      <w:bookmarkEnd w:id="0"/>
    </w:tbl>
    <w:p w14:paraId="610CD135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3C2D23E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tbl>
      <w:tblPr>
        <w:tblW w:w="198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</w:tblGrid>
      <w:tr w:rsidR="00306654" w:rsidRPr="007A6D3F" w14:paraId="73872B8E" w14:textId="77777777" w:rsidTr="00581356">
        <w:trPr>
          <w:trHeight w:val="3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7542" w14:textId="77777777" w:rsidR="00306654" w:rsidRPr="007A6D3F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color w:val="FF0000"/>
                <w:sz w:val="18"/>
                <w:szCs w:val="18"/>
              </w:rPr>
            </w:pPr>
          </w:p>
        </w:tc>
      </w:tr>
    </w:tbl>
    <w:p w14:paraId="239EEAD6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2A3DE26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38E1972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D72E262" w14:textId="77777777" w:rsidR="00306654" w:rsidRPr="007A6D3F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B63BDBE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030C80BB" wp14:editId="11B329FA">
            <wp:extent cx="6067425" cy="4772025"/>
            <wp:effectExtent l="0" t="0" r="0" b="0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72EA7A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F9A3CF6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B217FE9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F34DF9F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215E1D76" wp14:editId="15B6A129">
            <wp:extent cx="6267450" cy="4829175"/>
            <wp:effectExtent l="0" t="0" r="0" b="0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737F4B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BE76AB7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7F5BBBB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92FD92F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BABE19F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BFB9323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D4881A7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1A2B8A4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A921E4D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2A16F0D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62E21F6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2D9A4DA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295E16F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AF65FE6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8CA0625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595AA291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051B6873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0782BA1B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3D2A455F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19B423C2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2ECC7F93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764709C8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1E4F46A1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62554376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7C09EFD0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2441F89F" w14:textId="77777777" w:rsidR="00306654" w:rsidRPr="005B6802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5B6802">
        <w:rPr>
          <w:rFonts w:ascii="Verdana" w:eastAsia="Verdana" w:hAnsi="Verdana" w:cs="Courier New"/>
          <w:b/>
          <w:sz w:val="20"/>
          <w:szCs w:val="20"/>
        </w:rPr>
        <w:lastRenderedPageBreak/>
        <w:t>RASHODI PROJEKCIJE PRORAČUNA ZA 2026. I 2027. GODINU</w:t>
      </w:r>
    </w:p>
    <w:p w14:paraId="11EBC18F" w14:textId="77777777" w:rsidR="00306654" w:rsidRPr="005B6802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1C6D3D9A" w14:textId="77777777" w:rsidR="00306654" w:rsidRPr="005B6802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306654" w:rsidRPr="005B6802" w14:paraId="3CD8DFA1" w14:textId="77777777" w:rsidTr="00581356">
        <w:tc>
          <w:tcPr>
            <w:tcW w:w="4928" w:type="dxa"/>
            <w:shd w:val="clear" w:color="auto" w:fill="auto"/>
          </w:tcPr>
          <w:p w14:paraId="25E10EB2" w14:textId="77777777" w:rsidR="00306654" w:rsidRPr="005B6802" w:rsidRDefault="00306654" w:rsidP="005813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>RASHODI PROJEKCIJE PRORAČUNA</w:t>
            </w:r>
          </w:p>
        </w:tc>
        <w:tc>
          <w:tcPr>
            <w:tcW w:w="2126" w:type="dxa"/>
            <w:shd w:val="clear" w:color="auto" w:fill="auto"/>
          </w:tcPr>
          <w:p w14:paraId="45FD7CA9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>Projekcija proračuna 2026.</w:t>
            </w:r>
          </w:p>
        </w:tc>
        <w:tc>
          <w:tcPr>
            <w:tcW w:w="2126" w:type="dxa"/>
            <w:shd w:val="clear" w:color="auto" w:fill="auto"/>
          </w:tcPr>
          <w:p w14:paraId="28A42980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>Projekcija proračuna 2027.</w:t>
            </w:r>
          </w:p>
        </w:tc>
      </w:tr>
      <w:tr w:rsidR="00306654" w:rsidRPr="005B6802" w14:paraId="56521F33" w14:textId="77777777" w:rsidTr="00581356">
        <w:tc>
          <w:tcPr>
            <w:tcW w:w="4928" w:type="dxa"/>
            <w:shd w:val="clear" w:color="auto" w:fill="auto"/>
            <w:vAlign w:val="center"/>
          </w:tcPr>
          <w:p w14:paraId="6707EBF1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</w:tcPr>
          <w:p w14:paraId="35F36F31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/>
                <w:bCs/>
                <w:sz w:val="18"/>
                <w:szCs w:val="18"/>
              </w:rPr>
              <w:t>1.128.752,00</w:t>
            </w:r>
          </w:p>
        </w:tc>
        <w:tc>
          <w:tcPr>
            <w:tcW w:w="2126" w:type="dxa"/>
            <w:shd w:val="clear" w:color="auto" w:fill="auto"/>
          </w:tcPr>
          <w:p w14:paraId="56FD8131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6802">
              <w:rPr>
                <w:rFonts w:ascii="Tahoma" w:hAnsi="Tahoma" w:cs="Tahoma"/>
                <w:b/>
                <w:bCs/>
                <w:sz w:val="18"/>
                <w:szCs w:val="18"/>
              </w:rPr>
              <w:t>1.112.896,00</w:t>
            </w:r>
          </w:p>
        </w:tc>
      </w:tr>
      <w:tr w:rsidR="00306654" w:rsidRPr="005B6802" w14:paraId="5C902B23" w14:textId="77777777" w:rsidTr="00581356">
        <w:tc>
          <w:tcPr>
            <w:tcW w:w="4928" w:type="dxa"/>
            <w:shd w:val="clear" w:color="auto" w:fill="auto"/>
            <w:vAlign w:val="center"/>
          </w:tcPr>
          <w:p w14:paraId="2783BEAC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126" w:type="dxa"/>
            <w:shd w:val="clear" w:color="auto" w:fill="auto"/>
          </w:tcPr>
          <w:p w14:paraId="0436897B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575.810,00</w:t>
            </w:r>
          </w:p>
        </w:tc>
        <w:tc>
          <w:tcPr>
            <w:tcW w:w="2126" w:type="dxa"/>
            <w:shd w:val="clear" w:color="auto" w:fill="auto"/>
          </w:tcPr>
          <w:p w14:paraId="3B44E19E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304.688,00</w:t>
            </w:r>
          </w:p>
        </w:tc>
      </w:tr>
      <w:tr w:rsidR="00306654" w:rsidRPr="005B6802" w14:paraId="6F36BAE2" w14:textId="77777777" w:rsidTr="00581356">
        <w:tc>
          <w:tcPr>
            <w:tcW w:w="4928" w:type="dxa"/>
            <w:shd w:val="clear" w:color="auto" w:fill="auto"/>
            <w:vAlign w:val="center"/>
          </w:tcPr>
          <w:p w14:paraId="21D3B529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126" w:type="dxa"/>
            <w:shd w:val="clear" w:color="auto" w:fill="auto"/>
          </w:tcPr>
          <w:p w14:paraId="51D99865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369.067,00</w:t>
            </w:r>
          </w:p>
        </w:tc>
        <w:tc>
          <w:tcPr>
            <w:tcW w:w="2126" w:type="dxa"/>
            <w:shd w:val="clear" w:color="auto" w:fill="auto"/>
          </w:tcPr>
          <w:p w14:paraId="23B844DE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605.590,00</w:t>
            </w:r>
          </w:p>
        </w:tc>
      </w:tr>
      <w:tr w:rsidR="00306654" w:rsidRPr="005B6802" w14:paraId="0743DA8F" w14:textId="77777777" w:rsidTr="00581356">
        <w:tc>
          <w:tcPr>
            <w:tcW w:w="4928" w:type="dxa"/>
            <w:shd w:val="clear" w:color="auto" w:fill="auto"/>
            <w:vAlign w:val="center"/>
          </w:tcPr>
          <w:p w14:paraId="21AC5FD2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126" w:type="dxa"/>
            <w:shd w:val="clear" w:color="auto" w:fill="auto"/>
          </w:tcPr>
          <w:p w14:paraId="6CE4CE88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6.370,00</w:t>
            </w:r>
          </w:p>
        </w:tc>
        <w:tc>
          <w:tcPr>
            <w:tcW w:w="2126" w:type="dxa"/>
            <w:shd w:val="clear" w:color="auto" w:fill="auto"/>
          </w:tcPr>
          <w:p w14:paraId="20D4300B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7.005,00</w:t>
            </w:r>
          </w:p>
        </w:tc>
      </w:tr>
      <w:tr w:rsidR="00306654" w:rsidRPr="005B6802" w14:paraId="7F9B499C" w14:textId="77777777" w:rsidTr="00581356">
        <w:tc>
          <w:tcPr>
            <w:tcW w:w="4928" w:type="dxa"/>
            <w:shd w:val="clear" w:color="auto" w:fill="auto"/>
            <w:vAlign w:val="center"/>
          </w:tcPr>
          <w:p w14:paraId="51245B24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</w:tcPr>
          <w:p w14:paraId="7AC960F2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23.920,00</w:t>
            </w:r>
          </w:p>
        </w:tc>
        <w:tc>
          <w:tcPr>
            <w:tcW w:w="2126" w:type="dxa"/>
            <w:shd w:val="clear" w:color="auto" w:fill="auto"/>
          </w:tcPr>
          <w:p w14:paraId="1A992132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24.140,00</w:t>
            </w:r>
          </w:p>
        </w:tc>
      </w:tr>
      <w:tr w:rsidR="00306654" w:rsidRPr="005B6802" w14:paraId="73050F35" w14:textId="77777777" w:rsidTr="00581356">
        <w:tc>
          <w:tcPr>
            <w:tcW w:w="4928" w:type="dxa"/>
            <w:shd w:val="clear" w:color="auto" w:fill="auto"/>
            <w:vAlign w:val="center"/>
          </w:tcPr>
          <w:p w14:paraId="0363ECB2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126" w:type="dxa"/>
            <w:shd w:val="clear" w:color="auto" w:fill="auto"/>
          </w:tcPr>
          <w:p w14:paraId="2B7C286E" w14:textId="77777777" w:rsidR="00306654" w:rsidRPr="005B6802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5B6802">
              <w:rPr>
                <w:rFonts w:ascii="Verdana" w:eastAsia="Verdana" w:hAnsi="Verdana" w:cs="Courier New"/>
                <w:bCs/>
                <w:sz w:val="18"/>
                <w:szCs w:val="18"/>
              </w:rPr>
              <w:t>37.615,00</w:t>
            </w:r>
          </w:p>
        </w:tc>
        <w:tc>
          <w:tcPr>
            <w:tcW w:w="2126" w:type="dxa"/>
            <w:shd w:val="clear" w:color="auto" w:fill="auto"/>
          </w:tcPr>
          <w:p w14:paraId="5527CD8A" w14:textId="77777777" w:rsidR="00306654" w:rsidRPr="005B6802" w:rsidRDefault="00306654" w:rsidP="0058135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5B6802">
              <w:rPr>
                <w:rFonts w:ascii="Verdana" w:eastAsia="Verdana" w:hAnsi="Verdana" w:cs="Courier New"/>
                <w:bCs/>
                <w:sz w:val="18"/>
                <w:szCs w:val="18"/>
              </w:rPr>
              <w:t>41.376,00</w:t>
            </w:r>
          </w:p>
        </w:tc>
      </w:tr>
      <w:tr w:rsidR="00306654" w:rsidRPr="005B6802" w14:paraId="69CE2117" w14:textId="77777777" w:rsidTr="00581356">
        <w:tc>
          <w:tcPr>
            <w:tcW w:w="4928" w:type="dxa"/>
            <w:shd w:val="clear" w:color="auto" w:fill="auto"/>
            <w:vAlign w:val="center"/>
          </w:tcPr>
          <w:p w14:paraId="2425498F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</w:tcPr>
          <w:p w14:paraId="4583BC9B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68.630,00</w:t>
            </w:r>
          </w:p>
        </w:tc>
        <w:tc>
          <w:tcPr>
            <w:tcW w:w="2126" w:type="dxa"/>
            <w:shd w:val="clear" w:color="auto" w:fill="auto"/>
          </w:tcPr>
          <w:p w14:paraId="69E74EFD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75.493,00</w:t>
            </w:r>
          </w:p>
        </w:tc>
      </w:tr>
      <w:tr w:rsidR="00306654" w:rsidRPr="005B6802" w14:paraId="0F86069D" w14:textId="77777777" w:rsidTr="00581356">
        <w:tc>
          <w:tcPr>
            <w:tcW w:w="4928" w:type="dxa"/>
            <w:shd w:val="clear" w:color="auto" w:fill="auto"/>
            <w:vAlign w:val="center"/>
          </w:tcPr>
          <w:p w14:paraId="23D85FC0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126" w:type="dxa"/>
            <w:shd w:val="clear" w:color="auto" w:fill="auto"/>
          </w:tcPr>
          <w:p w14:paraId="3EDE0DE9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71.260,00</w:t>
            </w:r>
          </w:p>
        </w:tc>
        <w:tc>
          <w:tcPr>
            <w:tcW w:w="2126" w:type="dxa"/>
            <w:shd w:val="clear" w:color="auto" w:fill="auto"/>
          </w:tcPr>
          <w:p w14:paraId="67C87038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78.744,00</w:t>
            </w:r>
          </w:p>
        </w:tc>
      </w:tr>
      <w:tr w:rsidR="00306654" w:rsidRPr="005B6802" w14:paraId="65B2EE82" w14:textId="77777777" w:rsidTr="00581356">
        <w:tc>
          <w:tcPr>
            <w:tcW w:w="4928" w:type="dxa"/>
            <w:shd w:val="clear" w:color="auto" w:fill="auto"/>
            <w:vAlign w:val="center"/>
          </w:tcPr>
          <w:p w14:paraId="23B86896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</w:tcPr>
          <w:p w14:paraId="74911B21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/>
                <w:bCs/>
                <w:sz w:val="18"/>
                <w:szCs w:val="18"/>
              </w:rPr>
              <w:t>3.923.021,00</w:t>
            </w:r>
          </w:p>
        </w:tc>
        <w:tc>
          <w:tcPr>
            <w:tcW w:w="2126" w:type="dxa"/>
            <w:shd w:val="clear" w:color="auto" w:fill="auto"/>
          </w:tcPr>
          <w:p w14:paraId="7DCABC9E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6802">
              <w:rPr>
                <w:rFonts w:ascii="Tahoma" w:hAnsi="Tahoma" w:cs="Tahoma"/>
                <w:b/>
                <w:bCs/>
                <w:sz w:val="18"/>
                <w:szCs w:val="18"/>
              </w:rPr>
              <w:t>3.103.602,00</w:t>
            </w:r>
          </w:p>
        </w:tc>
      </w:tr>
      <w:tr w:rsidR="00306654" w:rsidRPr="005B6802" w14:paraId="486ED904" w14:textId="77777777" w:rsidTr="00581356">
        <w:tc>
          <w:tcPr>
            <w:tcW w:w="4928" w:type="dxa"/>
            <w:shd w:val="clear" w:color="auto" w:fill="auto"/>
            <w:vAlign w:val="center"/>
          </w:tcPr>
          <w:p w14:paraId="1C74EDD6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126" w:type="dxa"/>
            <w:shd w:val="clear" w:color="auto" w:fill="auto"/>
          </w:tcPr>
          <w:p w14:paraId="4CD4E0D7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sz w:val="18"/>
                <w:szCs w:val="18"/>
              </w:rPr>
              <w:t>3.923.021,00</w:t>
            </w:r>
          </w:p>
        </w:tc>
        <w:tc>
          <w:tcPr>
            <w:tcW w:w="2126" w:type="dxa"/>
            <w:shd w:val="clear" w:color="auto" w:fill="auto"/>
          </w:tcPr>
          <w:p w14:paraId="1DC2777E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sz w:val="18"/>
                <w:szCs w:val="18"/>
              </w:rPr>
              <w:t>3.103.602,00</w:t>
            </w:r>
          </w:p>
        </w:tc>
      </w:tr>
      <w:tr w:rsidR="00306654" w:rsidRPr="005B6802" w14:paraId="08188120" w14:textId="77777777" w:rsidTr="00581356">
        <w:tc>
          <w:tcPr>
            <w:tcW w:w="4928" w:type="dxa"/>
            <w:shd w:val="clear" w:color="auto" w:fill="auto"/>
            <w:vAlign w:val="center"/>
          </w:tcPr>
          <w:p w14:paraId="5F8849CA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sz w:val="20"/>
                <w:szCs w:val="20"/>
              </w:rPr>
              <w:t>45 Rashodi za dodatna ulaganja na nefinancijsku imovinu</w:t>
            </w:r>
          </w:p>
        </w:tc>
        <w:tc>
          <w:tcPr>
            <w:tcW w:w="2126" w:type="dxa"/>
            <w:shd w:val="clear" w:color="auto" w:fill="auto"/>
          </w:tcPr>
          <w:p w14:paraId="0A83B456" w14:textId="77777777" w:rsidR="00306654" w:rsidRPr="005B6802" w:rsidRDefault="00306654" w:rsidP="005813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79A9F492" w14:textId="77777777" w:rsidR="00306654" w:rsidRPr="005B6802" w:rsidRDefault="00306654" w:rsidP="00581356">
            <w:pPr>
              <w:jc w:val="right"/>
            </w:pPr>
            <w:r w:rsidRPr="005B6802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</w:tr>
      <w:tr w:rsidR="00306654" w:rsidRPr="005B6802" w14:paraId="4426C305" w14:textId="77777777" w:rsidTr="00581356">
        <w:tc>
          <w:tcPr>
            <w:tcW w:w="4928" w:type="dxa"/>
            <w:shd w:val="clear" w:color="auto" w:fill="auto"/>
            <w:vAlign w:val="center"/>
          </w:tcPr>
          <w:p w14:paraId="2F1E544F" w14:textId="77777777" w:rsidR="00306654" w:rsidRPr="005B6802" w:rsidRDefault="00306654" w:rsidP="005813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5B6802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2126" w:type="dxa"/>
            <w:shd w:val="clear" w:color="auto" w:fill="auto"/>
          </w:tcPr>
          <w:p w14:paraId="39953091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802">
              <w:rPr>
                <w:rFonts w:ascii="Times New Roman" w:hAnsi="Times New Roman"/>
                <w:b/>
                <w:bCs/>
                <w:sz w:val="24"/>
                <w:szCs w:val="24"/>
              </w:rPr>
              <w:t>5.051.773,00</w:t>
            </w:r>
          </w:p>
        </w:tc>
        <w:tc>
          <w:tcPr>
            <w:tcW w:w="2126" w:type="dxa"/>
            <w:shd w:val="clear" w:color="auto" w:fill="auto"/>
          </w:tcPr>
          <w:p w14:paraId="2B750AA9" w14:textId="77777777" w:rsidR="00306654" w:rsidRPr="005B6802" w:rsidRDefault="00306654" w:rsidP="00581356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5B6802">
              <w:rPr>
                <w:rFonts w:ascii="Times New Roman" w:hAnsi="Times New Roman"/>
                <w:b/>
                <w:bCs/>
                <w:sz w:val="24"/>
                <w:szCs w:val="24"/>
              </w:rPr>
              <w:t>4.216.498,00</w:t>
            </w:r>
          </w:p>
        </w:tc>
      </w:tr>
    </w:tbl>
    <w:p w14:paraId="1E14778D" w14:textId="77777777" w:rsidR="00306654" w:rsidRPr="004A51C3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FF0000"/>
          <w:sz w:val="20"/>
          <w:szCs w:val="20"/>
        </w:rPr>
      </w:pPr>
    </w:p>
    <w:p w14:paraId="123B22CF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4D1C512D" wp14:editId="52631AD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48375" cy="6105525"/>
            <wp:effectExtent l="0" t="0" r="0" b="0"/>
            <wp:wrapSquare wrapText="bothSides"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01B316BA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E7B8189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32545CD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7F3C2EE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D8A0F3B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477447F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E8B6B7E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5A792D3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8B85829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31AD684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7A45394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627357F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93C3615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5F3A183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3F098EBC" wp14:editId="6CB599F6">
            <wp:extent cx="5924550" cy="5715000"/>
            <wp:effectExtent l="0" t="0" r="0" b="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880F47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4BF1E30" w14:textId="77777777" w:rsidR="00306654" w:rsidRDefault="00306654" w:rsidP="0030665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2F5F9F7" w14:textId="77777777" w:rsidR="00306654" w:rsidRPr="00D54569" w:rsidRDefault="00306654" w:rsidP="00306654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61837376" w14:textId="77777777" w:rsidR="00306654" w:rsidRPr="00D54569" w:rsidRDefault="00306654" w:rsidP="00306654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14:paraId="0AF16417" w14:textId="77777777" w:rsidR="00306654" w:rsidRPr="00D54569" w:rsidRDefault="00306654" w:rsidP="00306654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032 514-184, 514-185</w:t>
      </w:r>
      <w:r>
        <w:rPr>
          <w:rFonts w:ascii="Verdana" w:eastAsia="Verdana" w:hAnsi="Verdana"/>
          <w:sz w:val="20"/>
          <w:szCs w:val="20"/>
        </w:rPr>
        <w:t>.</w:t>
      </w:r>
    </w:p>
    <w:p w14:paraId="6999813F" w14:textId="77777777" w:rsidR="00306654" w:rsidRPr="00D54569" w:rsidRDefault="00306654" w:rsidP="00306654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17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www.opcina-tompojevci.hr</w:t>
        </w:r>
      </w:hyperlink>
    </w:p>
    <w:p w14:paraId="4100453F" w14:textId="77777777" w:rsidR="00306654" w:rsidRPr="00D54569" w:rsidRDefault="00306654" w:rsidP="00306654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306654" w:rsidRPr="00D54569" w:rsidSect="0030665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418" w:right="1418" w:bottom="1418" w:left="1418" w:header="708" w:footer="708" w:gutter="0"/>
          <w:cols w:space="708"/>
          <w:docGrid w:linePitch="360"/>
        </w:sect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 : </w:t>
      </w:r>
      <w:hyperlink r:id="rId24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opcina-tompojevci@vk.t-com.hr</w:t>
        </w:r>
      </w:hyperlink>
    </w:p>
    <w:p w14:paraId="426D694A" w14:textId="77777777" w:rsidR="00306654" w:rsidRPr="00D54569" w:rsidRDefault="00306654" w:rsidP="00306654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14:paraId="7A6D08D5" w14:textId="77777777" w:rsidR="00306654" w:rsidRDefault="00306654" w:rsidP="00306654"/>
    <w:p w14:paraId="43F8C21F" w14:textId="77777777" w:rsidR="00306654" w:rsidRDefault="00306654" w:rsidP="00306654"/>
    <w:p w14:paraId="4F2B11E2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14:paraId="4259EDA2" w14:textId="77777777" w:rsidR="007A71F1" w:rsidRDefault="007A71F1"/>
    <w:sectPr w:rsidR="007A71F1" w:rsidSect="00D5456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B93D" w14:textId="77777777" w:rsidR="00CE1C16" w:rsidRDefault="00CE1C16">
      <w:pPr>
        <w:spacing w:after="0" w:line="240" w:lineRule="auto"/>
      </w:pPr>
      <w:r>
        <w:separator/>
      </w:r>
    </w:p>
  </w:endnote>
  <w:endnote w:type="continuationSeparator" w:id="0">
    <w:p w14:paraId="5B2D07DC" w14:textId="77777777" w:rsidR="00CE1C16" w:rsidRDefault="00CE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F153" w14:textId="77777777" w:rsidR="00306654" w:rsidRDefault="003066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3528" w14:textId="77777777" w:rsidR="00306654" w:rsidRDefault="00306654">
    <w:pPr>
      <w:pStyle w:val="Podnoje"/>
    </w:pPr>
  </w:p>
  <w:p w14:paraId="22460A63" w14:textId="77777777" w:rsidR="00306654" w:rsidRDefault="00306654">
    <w:pPr>
      <w:pStyle w:val="Podnoje"/>
    </w:pPr>
  </w:p>
  <w:p w14:paraId="74093D0C" w14:textId="77777777" w:rsidR="00306654" w:rsidRDefault="0030665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5A8E" w14:textId="77777777" w:rsidR="00306654" w:rsidRDefault="00306654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39B4" w14:textId="77777777" w:rsidR="00481350" w:rsidRDefault="00481350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F203" w14:textId="77777777" w:rsidR="00481350" w:rsidRDefault="00481350">
    <w:pPr>
      <w:pStyle w:val="Podnoje"/>
    </w:pPr>
  </w:p>
  <w:p w14:paraId="27C52CF7" w14:textId="77777777" w:rsidR="00481350" w:rsidRDefault="00481350">
    <w:pPr>
      <w:pStyle w:val="Podnoje"/>
    </w:pPr>
  </w:p>
  <w:p w14:paraId="525ACB55" w14:textId="77777777" w:rsidR="00481350" w:rsidRDefault="00481350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E32C" w14:textId="77777777" w:rsidR="00481350" w:rsidRDefault="004813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0B68" w14:textId="77777777" w:rsidR="00CE1C16" w:rsidRDefault="00CE1C16">
      <w:pPr>
        <w:spacing w:after="0" w:line="240" w:lineRule="auto"/>
      </w:pPr>
      <w:r>
        <w:separator/>
      </w:r>
    </w:p>
  </w:footnote>
  <w:footnote w:type="continuationSeparator" w:id="0">
    <w:p w14:paraId="29703097" w14:textId="77777777" w:rsidR="00CE1C16" w:rsidRDefault="00CE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6024" w14:textId="77777777" w:rsidR="00306654" w:rsidRDefault="003066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6A46" w14:textId="77777777" w:rsidR="00306654" w:rsidRDefault="0030665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49FB" w14:textId="77777777" w:rsidR="00306654" w:rsidRDefault="00306654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736B" w14:textId="77777777" w:rsidR="00481350" w:rsidRDefault="00481350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E88F" w14:textId="77777777" w:rsidR="00481350" w:rsidRDefault="00481350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9347" w14:textId="77777777" w:rsidR="00481350" w:rsidRDefault="004813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06351">
    <w:abstractNumId w:val="5"/>
  </w:num>
  <w:num w:numId="2" w16cid:durableId="1034189063">
    <w:abstractNumId w:val="4"/>
  </w:num>
  <w:num w:numId="3" w16cid:durableId="546576017">
    <w:abstractNumId w:val="7"/>
  </w:num>
  <w:num w:numId="4" w16cid:durableId="1366716390">
    <w:abstractNumId w:val="2"/>
  </w:num>
  <w:num w:numId="5" w16cid:durableId="486019750">
    <w:abstractNumId w:val="8"/>
  </w:num>
  <w:num w:numId="6" w16cid:durableId="426736219">
    <w:abstractNumId w:val="3"/>
  </w:num>
  <w:num w:numId="7" w16cid:durableId="1386441501">
    <w:abstractNumId w:val="1"/>
  </w:num>
  <w:num w:numId="8" w16cid:durableId="1225992391">
    <w:abstractNumId w:val="0"/>
  </w:num>
  <w:num w:numId="9" w16cid:durableId="1499883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569"/>
    <w:rsid w:val="00021686"/>
    <w:rsid w:val="00025321"/>
    <w:rsid w:val="00030A4B"/>
    <w:rsid w:val="00033232"/>
    <w:rsid w:val="0004251C"/>
    <w:rsid w:val="000434ED"/>
    <w:rsid w:val="000478EC"/>
    <w:rsid w:val="00053A62"/>
    <w:rsid w:val="000666A7"/>
    <w:rsid w:val="00070B55"/>
    <w:rsid w:val="0007307C"/>
    <w:rsid w:val="000803F0"/>
    <w:rsid w:val="00086F7E"/>
    <w:rsid w:val="00090451"/>
    <w:rsid w:val="000A705C"/>
    <w:rsid w:val="000D35DF"/>
    <w:rsid w:val="000E66DB"/>
    <w:rsid w:val="000F477A"/>
    <w:rsid w:val="00105FA4"/>
    <w:rsid w:val="00125E34"/>
    <w:rsid w:val="00137B47"/>
    <w:rsid w:val="00146291"/>
    <w:rsid w:val="001679C3"/>
    <w:rsid w:val="00173E7E"/>
    <w:rsid w:val="001B031F"/>
    <w:rsid w:val="001B31CC"/>
    <w:rsid w:val="001B7577"/>
    <w:rsid w:val="001E6635"/>
    <w:rsid w:val="001F0101"/>
    <w:rsid w:val="0020046F"/>
    <w:rsid w:val="002112D2"/>
    <w:rsid w:val="00211363"/>
    <w:rsid w:val="002575CB"/>
    <w:rsid w:val="00261BF9"/>
    <w:rsid w:val="00262468"/>
    <w:rsid w:val="00280040"/>
    <w:rsid w:val="00283865"/>
    <w:rsid w:val="002B037B"/>
    <w:rsid w:val="002C087C"/>
    <w:rsid w:val="002C0E0C"/>
    <w:rsid w:val="002C2B8E"/>
    <w:rsid w:val="002F0DF9"/>
    <w:rsid w:val="002F21D6"/>
    <w:rsid w:val="00306654"/>
    <w:rsid w:val="00345F8D"/>
    <w:rsid w:val="00370829"/>
    <w:rsid w:val="003849DF"/>
    <w:rsid w:val="003870DB"/>
    <w:rsid w:val="003B6FFE"/>
    <w:rsid w:val="003C1B0F"/>
    <w:rsid w:val="003D36A3"/>
    <w:rsid w:val="003E0D37"/>
    <w:rsid w:val="00402550"/>
    <w:rsid w:val="004303CA"/>
    <w:rsid w:val="00436E4F"/>
    <w:rsid w:val="00436EDA"/>
    <w:rsid w:val="0044550D"/>
    <w:rsid w:val="004714DD"/>
    <w:rsid w:val="00477527"/>
    <w:rsid w:val="00481350"/>
    <w:rsid w:val="00490A1A"/>
    <w:rsid w:val="00492E5B"/>
    <w:rsid w:val="004A24DE"/>
    <w:rsid w:val="004A51C3"/>
    <w:rsid w:val="004B63CB"/>
    <w:rsid w:val="004C1BDE"/>
    <w:rsid w:val="004C705B"/>
    <w:rsid w:val="004C7BE2"/>
    <w:rsid w:val="004D1D72"/>
    <w:rsid w:val="004D378F"/>
    <w:rsid w:val="004D7419"/>
    <w:rsid w:val="004F0CDE"/>
    <w:rsid w:val="00510DA0"/>
    <w:rsid w:val="00552184"/>
    <w:rsid w:val="005834F0"/>
    <w:rsid w:val="0058508F"/>
    <w:rsid w:val="005B6802"/>
    <w:rsid w:val="005F0A21"/>
    <w:rsid w:val="00601217"/>
    <w:rsid w:val="00603035"/>
    <w:rsid w:val="006078B5"/>
    <w:rsid w:val="00615070"/>
    <w:rsid w:val="00625FC8"/>
    <w:rsid w:val="00632DC7"/>
    <w:rsid w:val="00637037"/>
    <w:rsid w:val="00652515"/>
    <w:rsid w:val="00661331"/>
    <w:rsid w:val="00672F0F"/>
    <w:rsid w:val="00676F4F"/>
    <w:rsid w:val="00680647"/>
    <w:rsid w:val="00693F8B"/>
    <w:rsid w:val="006E338C"/>
    <w:rsid w:val="00702B26"/>
    <w:rsid w:val="00707602"/>
    <w:rsid w:val="00713262"/>
    <w:rsid w:val="007221F7"/>
    <w:rsid w:val="007306E7"/>
    <w:rsid w:val="00764668"/>
    <w:rsid w:val="007676C1"/>
    <w:rsid w:val="007727EC"/>
    <w:rsid w:val="00784ACA"/>
    <w:rsid w:val="007856BE"/>
    <w:rsid w:val="0079142A"/>
    <w:rsid w:val="007925B6"/>
    <w:rsid w:val="007A0546"/>
    <w:rsid w:val="007A446D"/>
    <w:rsid w:val="007A6D3F"/>
    <w:rsid w:val="007A71F1"/>
    <w:rsid w:val="007B2336"/>
    <w:rsid w:val="007D730E"/>
    <w:rsid w:val="007F1C69"/>
    <w:rsid w:val="00802D8D"/>
    <w:rsid w:val="0082680E"/>
    <w:rsid w:val="00830441"/>
    <w:rsid w:val="008424D1"/>
    <w:rsid w:val="00844EE7"/>
    <w:rsid w:val="00864694"/>
    <w:rsid w:val="008706D4"/>
    <w:rsid w:val="008721B4"/>
    <w:rsid w:val="0087730B"/>
    <w:rsid w:val="0089695B"/>
    <w:rsid w:val="008E1D9E"/>
    <w:rsid w:val="008F7281"/>
    <w:rsid w:val="00903AA9"/>
    <w:rsid w:val="009049EB"/>
    <w:rsid w:val="00913D8E"/>
    <w:rsid w:val="00922649"/>
    <w:rsid w:val="00923795"/>
    <w:rsid w:val="00945CA2"/>
    <w:rsid w:val="0095799A"/>
    <w:rsid w:val="0096000A"/>
    <w:rsid w:val="00974D95"/>
    <w:rsid w:val="009D36AF"/>
    <w:rsid w:val="009D7585"/>
    <w:rsid w:val="009E17FD"/>
    <w:rsid w:val="009E4E63"/>
    <w:rsid w:val="009F09D9"/>
    <w:rsid w:val="009F33EE"/>
    <w:rsid w:val="00A02CE6"/>
    <w:rsid w:val="00A174C4"/>
    <w:rsid w:val="00A220AC"/>
    <w:rsid w:val="00A2669A"/>
    <w:rsid w:val="00A41810"/>
    <w:rsid w:val="00A4438B"/>
    <w:rsid w:val="00A60A2B"/>
    <w:rsid w:val="00A617F6"/>
    <w:rsid w:val="00A73025"/>
    <w:rsid w:val="00A90BF7"/>
    <w:rsid w:val="00A93328"/>
    <w:rsid w:val="00AB69B3"/>
    <w:rsid w:val="00AD0E4E"/>
    <w:rsid w:val="00AD5885"/>
    <w:rsid w:val="00AE3DD1"/>
    <w:rsid w:val="00B127EC"/>
    <w:rsid w:val="00B31A33"/>
    <w:rsid w:val="00B46BAC"/>
    <w:rsid w:val="00B50853"/>
    <w:rsid w:val="00B70B51"/>
    <w:rsid w:val="00BB546E"/>
    <w:rsid w:val="00BC4DC9"/>
    <w:rsid w:val="00BD0F56"/>
    <w:rsid w:val="00BD45C9"/>
    <w:rsid w:val="00BE09C4"/>
    <w:rsid w:val="00BF110A"/>
    <w:rsid w:val="00BF28A3"/>
    <w:rsid w:val="00C00A5E"/>
    <w:rsid w:val="00C2527B"/>
    <w:rsid w:val="00C25647"/>
    <w:rsid w:val="00C34012"/>
    <w:rsid w:val="00C4324C"/>
    <w:rsid w:val="00C51BB0"/>
    <w:rsid w:val="00C54667"/>
    <w:rsid w:val="00C70B59"/>
    <w:rsid w:val="00C7644F"/>
    <w:rsid w:val="00C82D75"/>
    <w:rsid w:val="00CA7DF0"/>
    <w:rsid w:val="00CC5F28"/>
    <w:rsid w:val="00CC76EC"/>
    <w:rsid w:val="00CD4DB2"/>
    <w:rsid w:val="00CE1C16"/>
    <w:rsid w:val="00CE2235"/>
    <w:rsid w:val="00CE61E6"/>
    <w:rsid w:val="00CF240A"/>
    <w:rsid w:val="00CF6FEC"/>
    <w:rsid w:val="00D1137D"/>
    <w:rsid w:val="00D42ECD"/>
    <w:rsid w:val="00D44588"/>
    <w:rsid w:val="00D474DF"/>
    <w:rsid w:val="00D54569"/>
    <w:rsid w:val="00D57232"/>
    <w:rsid w:val="00D606BE"/>
    <w:rsid w:val="00D75B03"/>
    <w:rsid w:val="00D81B76"/>
    <w:rsid w:val="00D85D2E"/>
    <w:rsid w:val="00DC4D97"/>
    <w:rsid w:val="00DE1C0F"/>
    <w:rsid w:val="00DE5BEF"/>
    <w:rsid w:val="00E00083"/>
    <w:rsid w:val="00E055B4"/>
    <w:rsid w:val="00E26C7D"/>
    <w:rsid w:val="00E64C06"/>
    <w:rsid w:val="00E67EEC"/>
    <w:rsid w:val="00EA1C60"/>
    <w:rsid w:val="00EA547A"/>
    <w:rsid w:val="00EB19DD"/>
    <w:rsid w:val="00EB397F"/>
    <w:rsid w:val="00ED6B58"/>
    <w:rsid w:val="00F10229"/>
    <w:rsid w:val="00F11E5E"/>
    <w:rsid w:val="00F2566B"/>
    <w:rsid w:val="00F40DDD"/>
    <w:rsid w:val="00F447E3"/>
    <w:rsid w:val="00F54B55"/>
    <w:rsid w:val="00F956AD"/>
    <w:rsid w:val="00F96B0F"/>
    <w:rsid w:val="00FA086B"/>
    <w:rsid w:val="00FA35AC"/>
    <w:rsid w:val="00FC4F3B"/>
    <w:rsid w:val="00FC53E8"/>
    <w:rsid w:val="00FD25E2"/>
    <w:rsid w:val="00FE2EA3"/>
    <w:rsid w:val="00FF1E4E"/>
    <w:rsid w:val="00FF546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7AFB"/>
  <w15:docId w15:val="{6D8D3078-380B-4B91-8494-B40A9D72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0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35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3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www.opcina-tompojevci.hr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mailto:opcina-tompojevci@vk.t-com.h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List1!$A$3:$A$5</c:f>
              <c:strCache>
                <c:ptCount val="3"/>
                <c:pt idx="0">
                  <c:v>Proračun za 2025.</c:v>
                </c:pt>
                <c:pt idx="1">
                  <c:v>Projekcija za 2026.</c:v>
                </c:pt>
                <c:pt idx="2">
                  <c:v>Projekcija za 2027.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 formatCode="#,##0.00">
                  <c:v>5836359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A-4C73-891C-A25CECA980A4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Stupac2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List1!$A$3:$A$5</c:f>
              <c:strCache>
                <c:ptCount val="3"/>
                <c:pt idx="0">
                  <c:v>Proračun za 2025.</c:v>
                </c:pt>
                <c:pt idx="1">
                  <c:v>Projekcija za 2026.</c:v>
                </c:pt>
                <c:pt idx="2">
                  <c:v>Projekcija za 2027.</c:v>
                </c:pt>
              </c:strCache>
            </c:strRef>
          </c:cat>
          <c:val>
            <c:numRef>
              <c:f>List1!$C$3:$C$5</c:f>
              <c:numCache>
                <c:formatCode>#,##0.00</c:formatCode>
                <c:ptCount val="3"/>
                <c:pt idx="0" formatCode="General">
                  <c:v>2.4</c:v>
                </c:pt>
                <c:pt idx="1">
                  <c:v>5051773</c:v>
                </c:pt>
                <c:pt idx="2" formatCode="General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DA-4C73-891C-A25CECA980A4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Stupac3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List1!$A$3:$A$5</c:f>
              <c:strCache>
                <c:ptCount val="3"/>
                <c:pt idx="0">
                  <c:v>Proračun za 2025.</c:v>
                </c:pt>
                <c:pt idx="1">
                  <c:v>Projekcija za 2026.</c:v>
                </c:pt>
                <c:pt idx="2">
                  <c:v>Projekcija za 2027.</c:v>
                </c:pt>
              </c:strCache>
            </c:strRef>
          </c:cat>
          <c:val>
            <c:numRef>
              <c:f>List1!$D$3:$D$5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#,##0.00">
                  <c:v>4216498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DA-4C73-891C-A25CECA98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559872"/>
        <c:axId val="54561408"/>
      </c:barChart>
      <c:catAx>
        <c:axId val="54559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561408"/>
        <c:crosses val="autoZero"/>
        <c:auto val="1"/>
        <c:lblAlgn val="ctr"/>
        <c:lblOffset val="100"/>
        <c:noMultiLvlLbl val="0"/>
      </c:catAx>
      <c:valAx>
        <c:axId val="5456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5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Prihodi za 2025.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86E-2"/>
          <c:y val="0.12315047937095185"/>
          <c:w val="0.5772884551402907"/>
          <c:h val="0.762583419276332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6"/>
                <c:pt idx="0">
                  <c:v>prihodi od poreza</c:v>
                </c:pt>
                <c:pt idx="1">
                  <c:v>pomoći iz
inozemstva(darovnice)
i od subjekata unutar
opće države</c:v>
                </c:pt>
                <c:pt idx="2">
                  <c:v>prihodi od imovine</c:v>
                </c:pt>
                <c:pt idx="3">
                  <c:v>prihodi od 
adminstrativnih 
pristrojbi i po posebnim
propisima</c:v>
                </c:pt>
                <c:pt idx="4">
                  <c:v>Ostali prihodi</c:v>
                </c:pt>
                <c:pt idx="5">
                  <c:v>prihodi od prodaje
neproizvedene imovine</c:v>
                </c:pt>
              </c:strCache>
            </c:strRef>
          </c:cat>
          <c:val>
            <c:numRef>
              <c:f>List1!$B$2:$B$9</c:f>
              <c:numCache>
                <c:formatCode>0.00%</c:formatCode>
                <c:ptCount val="6"/>
                <c:pt idx="0">
                  <c:v>5.8799999999999998E-2</c:v>
                </c:pt>
                <c:pt idx="1">
                  <c:v>0.82599999999999996</c:v>
                </c:pt>
                <c:pt idx="2">
                  <c:v>9.6799999999999997E-2</c:v>
                </c:pt>
                <c:pt idx="3">
                  <c:v>1.2E-2</c:v>
                </c:pt>
                <c:pt idx="4">
                  <c:v>4.0000000000000002E-4</c:v>
                </c:pt>
                <c:pt idx="5">
                  <c:v>5.4000000000000003E-3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D-476E-B855-280879EA4E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Rashodi za 2025.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86E-2"/>
          <c:y val="0.12315047937095185"/>
          <c:w val="0.57015827567008692"/>
          <c:h val="0.7509215429703942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 u inozemstvo i unutar opće države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nefinancijske imovine proizvedene dugotrajne imovine</c:v>
                </c:pt>
              </c:strCache>
            </c:strRef>
          </c:cat>
          <c:val>
            <c:numRef>
              <c:f>List1!$B$2:$B$12</c:f>
              <c:numCache>
                <c:formatCode>0.00%</c:formatCode>
                <c:ptCount val="7"/>
                <c:pt idx="0">
                  <c:v>9.2600000000000002E-2</c:v>
                </c:pt>
                <c:pt idx="1">
                  <c:v>0.16800000000000001</c:v>
                </c:pt>
                <c:pt idx="2">
                  <c:v>1.1000000000000001E-3</c:v>
                </c:pt>
                <c:pt idx="3">
                  <c:v>2.12E-2</c:v>
                </c:pt>
                <c:pt idx="4">
                  <c:v>1.17E-2</c:v>
                </c:pt>
                <c:pt idx="5">
                  <c:v>1.6500000000000001E-2</c:v>
                </c:pt>
                <c:pt idx="6">
                  <c:v>0.68920000000000003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C-4956-A855-A69FECA73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323623882679018"/>
          <c:y val="0.10792207096561919"/>
          <c:w val="0.31483453554319696"/>
          <c:h val="0.7793471224260235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</a:t>
            </a:r>
            <a:r>
              <a:rPr lang="en-US"/>
              <a:t>rihod</a:t>
            </a:r>
            <a:r>
              <a:rPr lang="hr-HR"/>
              <a:t>i</a:t>
            </a:r>
            <a:r>
              <a:rPr lang="hr-HR" baseline="0"/>
              <a:t> projekcije</a:t>
            </a:r>
            <a:r>
              <a:rPr lang="en-US"/>
              <a:t> za 20</a:t>
            </a:r>
            <a:r>
              <a:rPr lang="hr-HR"/>
              <a:t>26</a:t>
            </a:r>
            <a:r>
              <a:rPr lang="en-US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Projekcija prihoda za 2026.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5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propsima</c:v>
                </c:pt>
                <c:pt idx="4">
                  <c:v>Ostali prihodi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5"/>
                <c:pt idx="0">
                  <c:v>8.8200000000000001E-2</c:v>
                </c:pt>
                <c:pt idx="1">
                  <c:v>0.78580000000000005</c:v>
                </c:pt>
                <c:pt idx="2">
                  <c:v>0.1115</c:v>
                </c:pt>
                <c:pt idx="3">
                  <c:v>1.38E-2</c:v>
                </c:pt>
                <c:pt idx="4">
                  <c:v>5.0000000000000001E-4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D-4682-9897-AA18F14AF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Prihodi projekcije za 2027.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za 2027.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5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5"/>
                <c:pt idx="0">
                  <c:v>9.9299999999999999E-2</c:v>
                </c:pt>
                <c:pt idx="1">
                  <c:v>0.74529999999999996</c:v>
                </c:pt>
                <c:pt idx="2">
                  <c:v>0.13650000000000001</c:v>
                </c:pt>
                <c:pt idx="3">
                  <c:v>1.8100000000000002E-2</c:v>
                </c:pt>
                <c:pt idx="4">
                  <c:v>6.9999999999999999E-4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2-497C-AF62-05D5C882E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6</a:t>
            </a:r>
            <a:r>
              <a:rPr lang="en-US" sz="1000"/>
              <a:t>. godinu</a:t>
            </a:r>
          </a:p>
        </c:rich>
      </c:tx>
      <c:layout>
        <c:manualLayout>
          <c:xMode val="edge"/>
          <c:yMode val="edge"/>
          <c:x val="0.17685031103395538"/>
          <c:y val="1.664066562662507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3137206274411E-2"/>
          <c:y val="0.12047252283792143"/>
          <c:w val="0.52269791472916283"/>
          <c:h val="0.790661900491767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2026.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11.4</c:v>
                </c:pt>
                <c:pt idx="1">
                  <c:v>7.3</c:v>
                </c:pt>
                <c:pt idx="2" formatCode="0.00">
                  <c:v>0.13</c:v>
                </c:pt>
                <c:pt idx="3" formatCode="0.00">
                  <c:v>0.47</c:v>
                </c:pt>
                <c:pt idx="4">
                  <c:v>0.74</c:v>
                </c:pt>
                <c:pt idx="6" formatCode="0.00">
                  <c:v>1.36</c:v>
                </c:pt>
                <c:pt idx="7">
                  <c:v>77.66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C-4232-87D4-86499B876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7</a:t>
            </a:r>
            <a:r>
              <a:rPr lang="en-US" sz="1000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23131714644987E-2"/>
          <c:y val="0.15112160979877512"/>
          <c:w val="0.54442632773797128"/>
          <c:h val="0.78487909011373602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2027.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7.23</c:v>
                </c:pt>
                <c:pt idx="1">
                  <c:v>14.36</c:v>
                </c:pt>
                <c:pt idx="2" formatCode="0.00">
                  <c:v>0.17</c:v>
                </c:pt>
                <c:pt idx="3" formatCode="0.00">
                  <c:v>0.56999999999999995</c:v>
                </c:pt>
                <c:pt idx="4">
                  <c:v>0.97</c:v>
                </c:pt>
                <c:pt idx="5" formatCode="0.00">
                  <c:v>1.79</c:v>
                </c:pt>
                <c:pt idx="6" formatCode="0.00">
                  <c:v>1.89</c:v>
                </c:pt>
                <c:pt idx="7">
                  <c:v>73.599999999999994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5-4197-82C9-C91A8A6A3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8252-7FF8-46A2-9607-709C9A21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20</Pages>
  <Words>3227</Words>
  <Characters>18398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21582</CharactersWithSpaces>
  <SharedDoc>false</SharedDoc>
  <HLinks>
    <vt:vector size="18" baseType="variant">
      <vt:variant>
        <vt:i4>65659</vt:i4>
      </vt:variant>
      <vt:variant>
        <vt:i4>30</vt:i4>
      </vt:variant>
      <vt:variant>
        <vt:i4>0</vt:i4>
      </vt:variant>
      <vt:variant>
        <vt:i4>5</vt:i4>
      </vt:variant>
      <vt:variant>
        <vt:lpwstr>mailto:opcina-tompojevci@vk.t-com.hr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cp:lastModifiedBy>Općina Tompojevci</cp:lastModifiedBy>
  <cp:revision>63</cp:revision>
  <cp:lastPrinted>2022-10-27T06:16:00Z</cp:lastPrinted>
  <dcterms:created xsi:type="dcterms:W3CDTF">2019-12-17T10:31:00Z</dcterms:created>
  <dcterms:modified xsi:type="dcterms:W3CDTF">2025-01-03T07:46:00Z</dcterms:modified>
</cp:coreProperties>
</file>